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A372AF" w:rsidP="00635217">
      <w:pPr>
        <w:spacing w:before="2" w:after="0" w:line="120" w:lineRule="exact"/>
        <w:rPr>
          <w:sz w:val="12"/>
          <w:szCs w:val="12"/>
        </w:rPr>
      </w:pPr>
      <w:r w:rsidRPr="00A372AF">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7C6F3E">
        <w:rPr>
          <w:rFonts w:ascii="Verdana" w:eastAsia="Verdana" w:hAnsi="Verdana" w:cs="Verdana"/>
        </w:rPr>
        <w:t xml:space="preserve">September </w:t>
      </w:r>
      <w:r w:rsidR="007C6204">
        <w:rPr>
          <w:rFonts w:ascii="Verdana" w:eastAsia="Verdana" w:hAnsi="Verdana" w:cs="Verdana"/>
        </w:rPr>
        <w:t>11</w:t>
      </w:r>
      <w:r w:rsidR="007C6F3E">
        <w:rPr>
          <w:rFonts w:ascii="Verdana" w:eastAsia="Verdana" w:hAnsi="Verdana" w:cs="Verdana"/>
        </w:rPr>
        <w:t>, 2017</w:t>
      </w:r>
    </w:p>
    <w:p w:rsidR="00DF13FE" w:rsidRDefault="00635217" w:rsidP="00FA1DEF">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3341B9" w:rsidRPr="00AB11F1" w:rsidRDefault="003341B9" w:rsidP="00B84273">
      <w:pPr>
        <w:spacing w:before="21" w:after="0" w:line="240" w:lineRule="auto"/>
        <w:ind w:left="4107" w:right="4107"/>
        <w:jc w:val="center"/>
        <w:rPr>
          <w:rFonts w:ascii="Verdana" w:eastAsia="Verdana" w:hAnsi="Verdana" w:cs="Verdana"/>
          <w:b/>
          <w:bCs/>
          <w:position w:val="-2"/>
          <w:sz w:val="2"/>
          <w:szCs w:val="24"/>
          <w:u w:val="thick" w:color="000000"/>
        </w:rPr>
      </w:pPr>
    </w:p>
    <w:p w:rsidR="00544A1D" w:rsidRPr="008B04E4" w:rsidRDefault="00544A1D" w:rsidP="00544A1D">
      <w:pPr>
        <w:pStyle w:val="NoSpacing"/>
        <w:rPr>
          <w:rFonts w:ascii="Verdana" w:hAnsi="Verdana"/>
          <w:b/>
          <w:caps/>
          <w:sz w:val="22"/>
          <w:szCs w:val="20"/>
          <w:u w:val="thick"/>
        </w:rPr>
      </w:pPr>
      <w:r w:rsidRPr="008B04E4">
        <w:rPr>
          <w:rFonts w:ascii="Verdana" w:hAnsi="Verdana"/>
          <w:b/>
          <w:caps/>
          <w:sz w:val="22"/>
          <w:szCs w:val="20"/>
          <w:u w:val="thick"/>
        </w:rPr>
        <w:t>House GOP sends budget-funding plan to Senate</w:t>
      </w:r>
    </w:p>
    <w:p w:rsidR="00544A1D" w:rsidRPr="008B04E4" w:rsidRDefault="00544A1D" w:rsidP="000C4DA4">
      <w:pPr>
        <w:pStyle w:val="NoSpacing"/>
        <w:rPr>
          <w:rStyle w:val="Strong"/>
          <w:rFonts w:ascii="Verdana" w:hAnsi="Verdana"/>
          <w:b w:val="0"/>
          <w:bCs w:val="0"/>
          <w:sz w:val="20"/>
          <w:szCs w:val="20"/>
        </w:rPr>
      </w:pPr>
      <w:r w:rsidRPr="00544A1D">
        <w:rPr>
          <w:rFonts w:ascii="Verdana" w:hAnsi="Verdana"/>
          <w:color w:val="000000"/>
          <w:sz w:val="20"/>
          <w:szCs w:val="20"/>
          <w:bdr w:val="none" w:sz="0" w:space="0" w:color="auto" w:frame="1"/>
        </w:rPr>
        <w:t>House Republicans on Wednesday passed what they entitled “The Putting People First Budget,” a budget-balancing plan that provides $2.3 billion in funding to close the $2.2 billion accumulated budget deficit facing the Commonwealth in FY 2017-2018, by a vote of 103 to 91.</w:t>
      </w:r>
      <w:r w:rsidR="008B04E4">
        <w:rPr>
          <w:rFonts w:ascii="Verdana" w:hAnsi="Verdana"/>
          <w:sz w:val="20"/>
          <w:szCs w:val="20"/>
        </w:rPr>
        <w:t xml:space="preserve"> </w:t>
      </w:r>
      <w:r w:rsidRPr="00544A1D">
        <w:rPr>
          <w:rFonts w:ascii="Verdana" w:hAnsi="Verdana"/>
          <w:color w:val="000000"/>
          <w:sz w:val="20"/>
          <w:szCs w:val="20"/>
          <w:bdr w:val="none" w:sz="0" w:space="0" w:color="auto" w:frame="1"/>
        </w:rPr>
        <w:t>According to the details, the budget plan will get money from the following: $20 million from legislative reserve accounts, $1 billion by selling a portion of the Tobacco Settlement Fund’s Master Settlement Agreement funding stream over a ten-year period, $630.5 million in special fund transfers, $400 million in multi-year agency lapsed funds, $225 million in gaming reform proceeds, $50 million from additional Pennsylvania Liquor Control Board license transfers to “agency stores” that privately-owned retail liquor establishments that will serve areas in which state stores are losing money, and a $200 million transfer from the Joint Underwriters Association Fund.</w:t>
      </w:r>
      <w:r w:rsidR="008B04E4">
        <w:rPr>
          <w:rFonts w:ascii="Verdana" w:hAnsi="Verdana"/>
          <w:sz w:val="20"/>
          <w:szCs w:val="20"/>
        </w:rPr>
        <w:t xml:space="preserve"> </w:t>
      </w:r>
      <w:r w:rsidRPr="00544A1D">
        <w:rPr>
          <w:rFonts w:ascii="Verdana" w:hAnsi="Verdana"/>
          <w:color w:val="000000"/>
          <w:sz w:val="20"/>
          <w:szCs w:val="20"/>
          <w:bdr w:val="none" w:sz="0" w:space="0" w:color="auto" w:frame="1"/>
        </w:rPr>
        <w:t xml:space="preserve">Lawmakers are also counting on $200,000 from the Nationwide security data breach settlement and $8.3 million from the </w:t>
      </w:r>
      <w:proofErr w:type="spellStart"/>
      <w:r w:rsidRPr="00544A1D">
        <w:rPr>
          <w:rFonts w:ascii="Verdana" w:hAnsi="Verdana"/>
          <w:color w:val="000000"/>
          <w:sz w:val="20"/>
          <w:szCs w:val="20"/>
          <w:bdr w:val="none" w:sz="0" w:space="0" w:color="auto" w:frame="1"/>
        </w:rPr>
        <w:t>Mylan</w:t>
      </w:r>
      <w:proofErr w:type="spellEnd"/>
      <w:r w:rsidRPr="00544A1D">
        <w:rPr>
          <w:rFonts w:ascii="Verdana" w:hAnsi="Verdana"/>
          <w:color w:val="000000"/>
          <w:sz w:val="20"/>
          <w:szCs w:val="20"/>
          <w:bdr w:val="none" w:sz="0" w:space="0" w:color="auto" w:frame="1"/>
        </w:rPr>
        <w:t xml:space="preserve"> pharmaceuticals settlement to be put into the General Fund.</w:t>
      </w:r>
      <w:r w:rsidR="008B04E4">
        <w:rPr>
          <w:rFonts w:ascii="Verdana" w:hAnsi="Verdana"/>
          <w:sz w:val="20"/>
          <w:szCs w:val="20"/>
        </w:rPr>
        <w:t xml:space="preserve"> Numerous changes were also made to the Fiscal Code legislation as passed by the Senate in July. One of the changes includes reducing the amount appropriated to the Department of Revenue for expanded tax collection activities by $5 million dollars. The House did not </w:t>
      </w:r>
      <w:r w:rsidR="00C97E2F">
        <w:rPr>
          <w:rFonts w:ascii="Verdana" w:hAnsi="Verdana"/>
          <w:sz w:val="20"/>
          <w:szCs w:val="20"/>
        </w:rPr>
        <w:t xml:space="preserve">amend a Tax Code vehicle making any larger tax changes. </w:t>
      </w:r>
      <w:r w:rsidRPr="00544A1D">
        <w:rPr>
          <w:rFonts w:ascii="Verdana" w:hAnsi="Verdana"/>
          <w:color w:val="000000"/>
          <w:sz w:val="20"/>
          <w:szCs w:val="20"/>
          <w:bdr w:val="none" w:sz="0" w:space="0" w:color="auto" w:frame="1"/>
        </w:rPr>
        <w:t>The plan now moves to the Senate for their review and potential action when the chamber returns to voting session on Monday, if not sooner.</w:t>
      </w:r>
      <w:r w:rsidR="00C97E2F">
        <w:rPr>
          <w:rFonts w:ascii="Verdana" w:hAnsi="Verdana"/>
          <w:color w:val="000000"/>
          <w:sz w:val="20"/>
          <w:szCs w:val="20"/>
          <w:bdr w:val="none" w:sz="0" w:space="0" w:color="auto" w:frame="1"/>
        </w:rPr>
        <w:t xml:space="preserve"> A full list of the proposed fund transfers is attached. </w:t>
      </w:r>
    </w:p>
    <w:p w:rsidR="000C4DA4" w:rsidRPr="000C4DA4" w:rsidRDefault="003A4AE4" w:rsidP="000C4DA4">
      <w:pPr>
        <w:pStyle w:val="NoSpacing"/>
        <w:rPr>
          <w:rFonts w:ascii="Verdana" w:hAnsi="Verdana"/>
          <w:sz w:val="20"/>
          <w:szCs w:val="20"/>
          <w:u w:val="thick"/>
        </w:rPr>
      </w:pPr>
      <w:r w:rsidRPr="000C4DA4">
        <w:rPr>
          <w:rStyle w:val="Strong"/>
          <w:rFonts w:ascii="Verdana" w:hAnsi="Verdana"/>
          <w:sz w:val="22"/>
          <w:szCs w:val="20"/>
          <w:u w:val="thick"/>
        </w:rPr>
        <w:t>TREASURER TORSELLA ISSUES STATEMENT ON SHORT TERM INVESTMENT POOL, STATUS OF GENERAL FUND</w:t>
      </w:r>
    </w:p>
    <w:p w:rsidR="003A4AE4" w:rsidRPr="000C4DA4" w:rsidRDefault="003A4AE4" w:rsidP="000C4DA4">
      <w:pPr>
        <w:pStyle w:val="NoSpacing"/>
        <w:rPr>
          <w:rFonts w:ascii="Verdana" w:hAnsi="Verdana"/>
          <w:sz w:val="20"/>
          <w:szCs w:val="20"/>
        </w:rPr>
      </w:pPr>
      <w:r w:rsidRPr="000C4DA4">
        <w:rPr>
          <w:rFonts w:ascii="Verdana" w:hAnsi="Verdana"/>
          <w:sz w:val="20"/>
          <w:szCs w:val="20"/>
        </w:rPr>
        <w:t xml:space="preserve">Pennsylvania Treasurer Joe </w:t>
      </w:r>
      <w:proofErr w:type="spellStart"/>
      <w:r w:rsidRPr="000C4DA4">
        <w:rPr>
          <w:rFonts w:ascii="Verdana" w:hAnsi="Verdana"/>
          <w:sz w:val="20"/>
          <w:szCs w:val="20"/>
        </w:rPr>
        <w:t>Torsella</w:t>
      </w:r>
      <w:proofErr w:type="spellEnd"/>
      <w:r w:rsidRPr="000C4DA4">
        <w:rPr>
          <w:rFonts w:ascii="Verdana" w:hAnsi="Verdana"/>
          <w:sz w:val="20"/>
          <w:szCs w:val="20"/>
        </w:rPr>
        <w:t xml:space="preserve"> released a statement regarding Treasury’s Short Term Investment Pool (STIP), and warned that on Friday, September 15, the General Fund’s balance is projected to fall to zero. As a result, without corrective action, $860 million in scheduled expenditures would be delayed until the General Fund has received sufficient revenue.</w:t>
      </w:r>
      <w:r w:rsidR="000C4DA4" w:rsidRPr="000C4DA4">
        <w:rPr>
          <w:rFonts w:ascii="Verdana" w:hAnsi="Verdana"/>
          <w:sz w:val="20"/>
          <w:szCs w:val="20"/>
        </w:rPr>
        <w:t xml:space="preserve"> </w:t>
      </w:r>
      <w:r w:rsidRPr="000C4DA4">
        <w:rPr>
          <w:rFonts w:ascii="Verdana" w:hAnsi="Verdana"/>
          <w:sz w:val="20"/>
          <w:szCs w:val="20"/>
        </w:rPr>
        <w:t xml:space="preserve">In a joint letter to the Governor and members of the General Assembly, Treasurer </w:t>
      </w:r>
      <w:proofErr w:type="spellStart"/>
      <w:r w:rsidRPr="000C4DA4">
        <w:rPr>
          <w:rFonts w:ascii="Verdana" w:hAnsi="Verdana"/>
          <w:sz w:val="20"/>
          <w:szCs w:val="20"/>
        </w:rPr>
        <w:t>Torsella</w:t>
      </w:r>
      <w:proofErr w:type="spellEnd"/>
      <w:r w:rsidRPr="000C4DA4">
        <w:rPr>
          <w:rFonts w:ascii="Verdana" w:hAnsi="Verdana"/>
          <w:sz w:val="20"/>
          <w:szCs w:val="20"/>
        </w:rPr>
        <w:t xml:space="preserve"> and Auditor General </w:t>
      </w:r>
      <w:proofErr w:type="spellStart"/>
      <w:r w:rsidRPr="000C4DA4">
        <w:rPr>
          <w:rFonts w:ascii="Verdana" w:hAnsi="Verdana"/>
          <w:sz w:val="20"/>
          <w:szCs w:val="20"/>
        </w:rPr>
        <w:t>DePasquale</w:t>
      </w:r>
      <w:proofErr w:type="spellEnd"/>
      <w:r w:rsidRPr="000C4DA4">
        <w:rPr>
          <w:rFonts w:ascii="Verdana" w:hAnsi="Verdana"/>
          <w:sz w:val="20"/>
          <w:szCs w:val="20"/>
        </w:rPr>
        <w:t xml:space="preserve"> outlined the inability of the Commonwealth’s General Fund’s balance to meet expenditure demands. The letter also noted that since 2012, Standard &amp; Poor’s has either downgraded Pennsylvania’s credit rating or placed it on a negative credit watch five separate times.</w:t>
      </w:r>
      <w:r w:rsidR="000C4DA4" w:rsidRPr="000C4DA4">
        <w:rPr>
          <w:rFonts w:ascii="Verdana" w:hAnsi="Verdana"/>
          <w:sz w:val="20"/>
          <w:szCs w:val="20"/>
        </w:rPr>
        <w:t xml:space="preserve"> </w:t>
      </w:r>
      <w:r w:rsidRPr="000C4DA4">
        <w:rPr>
          <w:rFonts w:ascii="Verdana" w:hAnsi="Verdana"/>
          <w:sz w:val="20"/>
          <w:szCs w:val="20"/>
        </w:rPr>
        <w:t xml:space="preserve">Treasurer </w:t>
      </w:r>
      <w:proofErr w:type="spellStart"/>
      <w:r w:rsidRPr="000C4DA4">
        <w:rPr>
          <w:rFonts w:ascii="Verdana" w:hAnsi="Verdana"/>
          <w:sz w:val="20"/>
          <w:szCs w:val="20"/>
        </w:rPr>
        <w:t>Torsella</w:t>
      </w:r>
      <w:proofErr w:type="spellEnd"/>
      <w:r w:rsidRPr="000C4DA4">
        <w:rPr>
          <w:rFonts w:ascii="Verdana" w:hAnsi="Verdana"/>
          <w:sz w:val="20"/>
          <w:szCs w:val="20"/>
        </w:rPr>
        <w:t> authorized a short-term two-week $750 million line of credit from Treasury’s Short Term Investment Pool (STIP) to the Commonwealth’s General Fund from August 14 to August 23. The STIP loan was released in full to the General Fund on August 15, and was paid back on August 23 at an interest rate of 85 basis points.</w:t>
      </w:r>
    </w:p>
    <w:p w:rsidR="00515330" w:rsidRPr="00515330" w:rsidRDefault="00515330" w:rsidP="00515330">
      <w:pPr>
        <w:pStyle w:val="NoSpacing"/>
        <w:rPr>
          <w:rFonts w:ascii="Verdana" w:hAnsi="Verdana"/>
          <w:b/>
          <w:caps/>
          <w:color w:val="7C7C7C"/>
          <w:sz w:val="22"/>
          <w:szCs w:val="20"/>
          <w:u w:val="thick"/>
        </w:rPr>
      </w:pPr>
      <w:r w:rsidRPr="00515330">
        <w:rPr>
          <w:rFonts w:ascii="Verdana" w:hAnsi="Verdana"/>
          <w:b/>
          <w:caps/>
          <w:sz w:val="22"/>
          <w:szCs w:val="20"/>
          <w:u w:val="thick"/>
        </w:rPr>
        <w:t>Committee maneuver could delay consideration of severance tax proposal</w:t>
      </w:r>
      <w:r w:rsidRPr="00515330">
        <w:rPr>
          <w:rFonts w:ascii="Verdana" w:hAnsi="Verdana"/>
          <w:b/>
          <w:caps/>
          <w:color w:val="7C7C7C"/>
          <w:sz w:val="22"/>
          <w:szCs w:val="20"/>
          <w:u w:val="thick"/>
        </w:rPr>
        <w:t xml:space="preserve"> </w:t>
      </w:r>
    </w:p>
    <w:p w:rsidR="008B04E4" w:rsidRDefault="00515330" w:rsidP="00AB798F">
      <w:pPr>
        <w:pStyle w:val="NoSpacing"/>
        <w:rPr>
          <w:rFonts w:ascii="Verdana" w:hAnsi="Verdana"/>
          <w:color w:val="000000"/>
          <w:sz w:val="20"/>
          <w:szCs w:val="20"/>
          <w:bdr w:val="none" w:sz="0" w:space="0" w:color="auto" w:frame="1"/>
        </w:rPr>
      </w:pPr>
      <w:r w:rsidRPr="00515330">
        <w:rPr>
          <w:rFonts w:ascii="Verdana" w:hAnsi="Verdana"/>
          <w:color w:val="000000"/>
          <w:sz w:val="20"/>
          <w:szCs w:val="20"/>
          <w:bdr w:val="none" w:sz="0" w:space="0" w:color="auto" w:frame="1"/>
        </w:rPr>
        <w:t>A move by Republicans on the House Environmental Resources and Energy Committee Monday could potentially pump the brakes on the full chamber getting a crack at considering a natural gas severance tax.</w:t>
      </w:r>
      <w:r>
        <w:rPr>
          <w:rFonts w:ascii="Verdana" w:hAnsi="Verdana"/>
          <w:sz w:val="20"/>
          <w:szCs w:val="20"/>
        </w:rPr>
        <w:t xml:space="preserve"> </w:t>
      </w:r>
      <w:r w:rsidRPr="00515330">
        <w:rPr>
          <w:rFonts w:ascii="Verdana" w:hAnsi="Verdana"/>
          <w:color w:val="000000"/>
          <w:sz w:val="20"/>
          <w:szCs w:val="20"/>
          <w:bdr w:val="none" w:sz="0" w:space="0" w:color="auto" w:frame="1"/>
        </w:rPr>
        <w:t>While the halls of the Capitol were aflutter earlier in the day with speculation that the committee might approve Rep. Kate Harper’s (R-Montgomery) proposal to implement a 3.5 percent severance tax on top of the already-existing impact fee—especially with a House discharge resolution pending on the legislation—committee Majority Chairman John Maher (R-Allegheny) dashed those hopes as a matter of practical implication through creative amending and procedural maneuvering.</w:t>
      </w:r>
      <w:r>
        <w:rPr>
          <w:rFonts w:ascii="Verdana" w:hAnsi="Verdana"/>
          <w:sz w:val="20"/>
          <w:szCs w:val="20"/>
        </w:rPr>
        <w:t xml:space="preserve"> </w:t>
      </w:r>
      <w:r w:rsidRPr="00515330">
        <w:rPr>
          <w:rFonts w:ascii="Verdana" w:hAnsi="Verdana"/>
          <w:color w:val="000000"/>
          <w:sz w:val="20"/>
          <w:szCs w:val="20"/>
          <w:bdr w:val="none" w:sz="0" w:space="0" w:color="auto" w:frame="1"/>
        </w:rPr>
        <w:t>In sum, an amendment offered by Rep. Maher was supported solely and unanimously by Republicans on the committee that would replace the existing title of the impact fee with the severance tax moniker, leaving the current system otherwise in place and raising no new revenue for the state budget.</w:t>
      </w:r>
      <w:r>
        <w:rPr>
          <w:rFonts w:ascii="Verdana" w:hAnsi="Verdana"/>
          <w:sz w:val="20"/>
          <w:szCs w:val="20"/>
        </w:rPr>
        <w:t xml:space="preserve"> </w:t>
      </w:r>
      <w:r w:rsidRPr="00515330">
        <w:rPr>
          <w:rFonts w:ascii="Verdana" w:hAnsi="Verdana"/>
          <w:color w:val="000000"/>
          <w:sz w:val="20"/>
          <w:szCs w:val="20"/>
          <w:bdr w:val="none" w:sz="0" w:space="0" w:color="auto" w:frame="1"/>
        </w:rPr>
        <w:t xml:space="preserve">The committee did not vote on the bill-in-chief, rather leaving the legislation in committee as amended to allow members who had filed other amendments to the legislation—made out of order by the adoption of the Maher amendment—to </w:t>
      </w:r>
      <w:proofErr w:type="spellStart"/>
      <w:r w:rsidRPr="00515330">
        <w:rPr>
          <w:rFonts w:ascii="Verdana" w:hAnsi="Verdana"/>
          <w:color w:val="000000"/>
          <w:sz w:val="20"/>
          <w:szCs w:val="20"/>
          <w:bdr w:val="none" w:sz="0" w:space="0" w:color="auto" w:frame="1"/>
        </w:rPr>
        <w:t>refile</w:t>
      </w:r>
      <w:proofErr w:type="spellEnd"/>
      <w:r w:rsidRPr="00515330">
        <w:rPr>
          <w:rFonts w:ascii="Verdana" w:hAnsi="Verdana"/>
          <w:color w:val="000000"/>
          <w:sz w:val="20"/>
          <w:szCs w:val="20"/>
          <w:bdr w:val="none" w:sz="0" w:space="0" w:color="auto" w:frame="1"/>
        </w:rPr>
        <w:t xml:space="preserve"> their proposals within a 24-hour period.</w:t>
      </w:r>
    </w:p>
    <w:p w:rsidR="00903FB5" w:rsidRPr="00903FB5" w:rsidRDefault="00903FB5" w:rsidP="00903FB5">
      <w:pPr>
        <w:pStyle w:val="NoSpacing"/>
        <w:rPr>
          <w:rFonts w:ascii="Verdana" w:hAnsi="Verdana"/>
          <w:b/>
          <w:caps/>
          <w:sz w:val="22"/>
          <w:u w:val="thick"/>
        </w:rPr>
      </w:pPr>
      <w:r w:rsidRPr="00903FB5">
        <w:rPr>
          <w:rFonts w:ascii="Verdana" w:hAnsi="Verdana"/>
          <w:b/>
          <w:caps/>
          <w:sz w:val="22"/>
          <w:u w:val="thick"/>
        </w:rPr>
        <w:lastRenderedPageBreak/>
        <w:t>Christiana: Shale Tax Will Kill PA Jobs</w:t>
      </w:r>
    </w:p>
    <w:p w:rsidR="00903FB5" w:rsidRPr="00903FB5" w:rsidRDefault="00903FB5" w:rsidP="00903FB5">
      <w:pPr>
        <w:pStyle w:val="NoSpacing"/>
        <w:rPr>
          <w:rFonts w:ascii="Verdana" w:hAnsi="Verdana"/>
          <w:sz w:val="20"/>
          <w:szCs w:val="22"/>
        </w:rPr>
      </w:pPr>
      <w:r w:rsidRPr="00903FB5">
        <w:rPr>
          <w:rFonts w:ascii="Verdana" w:hAnsi="Verdana"/>
          <w:sz w:val="20"/>
        </w:rPr>
        <w:t>Surrounded by organizations representing Pennsylvania’s private sector workforce, Rep. Jim Christiana (R-Beaver/Washington) urged House and Senate leaders and Gov. Tom Wolf to take a job-killing shale tax off the table during final negotiations on the state budget revenue plan this week. Christiana, who championed legislation in 2012 to entice Shell to locate a $6 billion petrochemical complex in Beaver County, said such a tax would jeopardize thousands of Pennsylvania jobs.</w:t>
      </w:r>
    </w:p>
    <w:p w:rsidR="0064369B" w:rsidRPr="0064369B" w:rsidRDefault="0064369B" w:rsidP="0064369B">
      <w:pPr>
        <w:pStyle w:val="NoSpacing"/>
        <w:rPr>
          <w:rFonts w:ascii="Verdana" w:hAnsi="Verdana"/>
          <w:caps/>
          <w:sz w:val="22"/>
          <w:szCs w:val="20"/>
          <w:u w:val="thick"/>
        </w:rPr>
      </w:pPr>
      <w:r w:rsidRPr="0064369B">
        <w:rPr>
          <w:rStyle w:val="Strong"/>
          <w:rFonts w:ascii="Verdana" w:hAnsi="Verdana" w:cs="Arial"/>
          <w:caps/>
          <w:color w:val="000000"/>
          <w:sz w:val="22"/>
          <w:szCs w:val="20"/>
          <w:u w:val="thick"/>
        </w:rPr>
        <w:t>Pennsylvania Securities Conference Accredited for Continuing Education Credits</w:t>
      </w:r>
    </w:p>
    <w:p w:rsidR="0064369B" w:rsidRPr="0064369B" w:rsidRDefault="0064369B" w:rsidP="00AB798F">
      <w:pPr>
        <w:pStyle w:val="NoSpacing"/>
        <w:rPr>
          <w:rFonts w:ascii="Verdana" w:hAnsi="Verdana"/>
          <w:sz w:val="20"/>
          <w:szCs w:val="20"/>
        </w:rPr>
      </w:pPr>
      <w:r w:rsidRPr="0064369B">
        <w:rPr>
          <w:rFonts w:ascii="Verdana" w:hAnsi="Verdana"/>
          <w:sz w:val="20"/>
          <w:szCs w:val="20"/>
        </w:rPr>
        <w:t>Pennsylvania Secretary of Banking and Securities Robin L. </w:t>
      </w:r>
      <w:proofErr w:type="spellStart"/>
      <w:r w:rsidRPr="0064369B">
        <w:rPr>
          <w:rStyle w:val="spelle"/>
          <w:rFonts w:ascii="Verdana" w:hAnsi="Verdana" w:cs="Arial"/>
          <w:color w:val="000000"/>
          <w:sz w:val="20"/>
          <w:szCs w:val="20"/>
        </w:rPr>
        <w:t>Wiessmann</w:t>
      </w:r>
      <w:proofErr w:type="spellEnd"/>
      <w:r w:rsidRPr="0064369B">
        <w:rPr>
          <w:rStyle w:val="spelle"/>
          <w:rFonts w:ascii="Verdana" w:hAnsi="Verdana" w:cs="Arial"/>
          <w:color w:val="000000"/>
          <w:sz w:val="20"/>
          <w:szCs w:val="20"/>
        </w:rPr>
        <w:t xml:space="preserve"> </w:t>
      </w:r>
      <w:r w:rsidRPr="0064369B">
        <w:rPr>
          <w:rFonts w:ascii="Verdana" w:hAnsi="Verdana"/>
          <w:sz w:val="20"/>
          <w:szCs w:val="20"/>
        </w:rPr>
        <w:t>announced that Compliance 2017, a statewide conference of investment professionals and regulators, has been accredited by five organizations so that financial professionals attending the conference can earn continuing education credits. The conference will take place October 26, 2017, at the Radisson Hotel Harrisburg in Camp Hill. The organizations offering continuing education credits are: Certified Financial Planner Board of Standards, American College of Financial Services for Chartered Financial Consultants, The Supreme Court of Pennsylvania Continuing Legal Education Board, Pennsylvania Insurance Department, and Pennsylvania State Board of Accountancy (</w:t>
      </w:r>
      <w:r w:rsidRPr="0064369B">
        <w:rPr>
          <w:rStyle w:val="Emphasis"/>
          <w:rFonts w:ascii="Verdana" w:hAnsi="Verdana" w:cs="Arial"/>
          <w:color w:val="000000"/>
          <w:sz w:val="20"/>
          <w:szCs w:val="20"/>
        </w:rPr>
        <w:t>Category: Specialized Knowledge and Applications</w:t>
      </w:r>
      <w:r w:rsidRPr="0064369B">
        <w:rPr>
          <w:rFonts w:ascii="Verdana" w:hAnsi="Verdana"/>
          <w:sz w:val="20"/>
          <w:szCs w:val="20"/>
        </w:rPr>
        <w:t xml:space="preserve">). Compliance 2017 is designed to keep investment professionals and their firms up-to-date on changes to federal and state securities laws and regulations. The conference will focus on a wide range of industry-related topics, such as the examination process, </w:t>
      </w:r>
      <w:proofErr w:type="spellStart"/>
      <w:r w:rsidRPr="0064369B">
        <w:rPr>
          <w:rFonts w:ascii="Verdana" w:hAnsi="Verdana"/>
          <w:sz w:val="20"/>
          <w:szCs w:val="20"/>
        </w:rPr>
        <w:t>cybersecurity</w:t>
      </w:r>
      <w:proofErr w:type="spellEnd"/>
      <w:r w:rsidRPr="0064369B">
        <w:rPr>
          <w:rFonts w:ascii="Verdana" w:hAnsi="Verdana"/>
          <w:sz w:val="20"/>
          <w:szCs w:val="20"/>
        </w:rPr>
        <w:t>, federal regulatory changes, fiduciary duties, and top concerns of regulators, the securities industry, and the investing public. Compliance 2017 is the first statewide securities conference in Pennsylvania since 2011. The cost of attendance is $175 per registrant. For more information and to register online, visit: </w:t>
      </w:r>
      <w:hyperlink r:id="rId9" w:history="1">
        <w:r w:rsidRPr="0064369B">
          <w:rPr>
            <w:rStyle w:val="Hyperlink"/>
            <w:rFonts w:ascii="Verdana" w:hAnsi="Verdana" w:cs="Arial"/>
            <w:color w:val="800080"/>
            <w:sz w:val="20"/>
            <w:szCs w:val="20"/>
          </w:rPr>
          <w:t>www.dobs.pa.gov/For%20Media/Pages/Compliance2017.aspx</w:t>
        </w:r>
      </w:hyperlink>
      <w:r w:rsidRPr="0064369B">
        <w:rPr>
          <w:rFonts w:ascii="Verdana" w:hAnsi="Verdana"/>
          <w:sz w:val="20"/>
          <w:szCs w:val="20"/>
        </w:rPr>
        <w:t>. </w:t>
      </w:r>
    </w:p>
    <w:p w:rsidR="00DF13FE" w:rsidRPr="00903FB5" w:rsidRDefault="00DF13FE" w:rsidP="00AB798F">
      <w:pPr>
        <w:pStyle w:val="NoSpacing"/>
        <w:rPr>
          <w:rFonts w:ascii="Verdana" w:hAnsi="Verdana"/>
          <w:sz w:val="20"/>
        </w:rPr>
      </w:pPr>
      <w:r w:rsidRPr="00DF13FE">
        <w:rPr>
          <w:rFonts w:ascii="Verdana" w:eastAsia="Verdana" w:hAnsi="Verdana" w:cs="Verdana"/>
          <w:b/>
          <w:bCs/>
          <w:caps/>
          <w:spacing w:val="1"/>
          <w:position w:val="-1"/>
          <w:sz w:val="22"/>
          <w:u w:val="thick"/>
        </w:rPr>
        <w:t xml:space="preserve">Sales Tax Holiday Legislation </w:t>
      </w:r>
    </w:p>
    <w:p w:rsidR="00DF13FE" w:rsidRDefault="00DF13FE" w:rsidP="00AB798F">
      <w:pPr>
        <w:pStyle w:val="NoSpacing"/>
        <w:rPr>
          <w:rFonts w:ascii="Verdana" w:eastAsia="Verdana" w:hAnsi="Verdana" w:cs="Verdana"/>
          <w:bCs/>
          <w:spacing w:val="1"/>
          <w:position w:val="-1"/>
          <w:sz w:val="20"/>
        </w:rPr>
      </w:pPr>
      <w:r w:rsidRPr="00DF13FE">
        <w:rPr>
          <w:rFonts w:ascii="Verdana" w:eastAsia="Verdana" w:hAnsi="Verdana" w:cs="Verdana"/>
          <w:bCs/>
          <w:spacing w:val="1"/>
          <w:position w:val="-1"/>
          <w:sz w:val="20"/>
        </w:rPr>
        <w:t>Senator Mike Regan issued co-sponsor</w:t>
      </w:r>
      <w:r w:rsidR="004A63B8">
        <w:rPr>
          <w:rFonts w:ascii="Verdana" w:eastAsia="Verdana" w:hAnsi="Verdana" w:cs="Verdana"/>
          <w:bCs/>
          <w:spacing w:val="1"/>
          <w:position w:val="-1"/>
          <w:sz w:val="20"/>
        </w:rPr>
        <w:t>ship</w:t>
      </w:r>
      <w:r w:rsidRPr="00DF13FE">
        <w:rPr>
          <w:rFonts w:ascii="Verdana" w:eastAsia="Verdana" w:hAnsi="Verdana" w:cs="Verdana"/>
          <w:bCs/>
          <w:spacing w:val="1"/>
          <w:position w:val="-1"/>
          <w:sz w:val="20"/>
        </w:rPr>
        <w:t xml:space="preserve"> memo</w:t>
      </w:r>
      <w:r w:rsidR="004A63B8">
        <w:rPr>
          <w:rFonts w:ascii="Verdana" w:eastAsia="Verdana" w:hAnsi="Verdana" w:cs="Verdana"/>
          <w:bCs/>
          <w:spacing w:val="1"/>
          <w:position w:val="-1"/>
          <w:sz w:val="20"/>
        </w:rPr>
        <w:t xml:space="preserve">randum for legislation </w:t>
      </w:r>
      <w:r w:rsidRPr="00DF13FE">
        <w:rPr>
          <w:rFonts w:ascii="Verdana" w:eastAsia="Verdana" w:hAnsi="Verdana" w:cs="Verdana"/>
          <w:bCs/>
          <w:spacing w:val="1"/>
          <w:position w:val="-1"/>
          <w:sz w:val="20"/>
        </w:rPr>
        <w:t>which would implement a sales tax holiday for the purchase of school supplies</w:t>
      </w:r>
      <w:r>
        <w:rPr>
          <w:rFonts w:ascii="Verdana" w:eastAsia="Verdana" w:hAnsi="Verdana" w:cs="Verdana"/>
          <w:bCs/>
          <w:spacing w:val="1"/>
          <w:position w:val="-1"/>
          <w:sz w:val="20"/>
        </w:rPr>
        <w:t xml:space="preserve"> and personal computers</w:t>
      </w:r>
      <w:r w:rsidRPr="00DF13FE">
        <w:rPr>
          <w:rFonts w:ascii="Verdana" w:eastAsia="Verdana" w:hAnsi="Verdana" w:cs="Verdana"/>
          <w:bCs/>
          <w:spacing w:val="1"/>
          <w:position w:val="-1"/>
          <w:sz w:val="20"/>
        </w:rPr>
        <w:t xml:space="preserve">. </w:t>
      </w:r>
      <w:r w:rsidR="006E54EF">
        <w:rPr>
          <w:rFonts w:ascii="Verdana" w:eastAsia="Verdana" w:hAnsi="Verdana" w:cs="Verdana"/>
          <w:bCs/>
          <w:spacing w:val="1"/>
          <w:position w:val="-1"/>
          <w:sz w:val="20"/>
        </w:rPr>
        <w:t>If enacted, t</w:t>
      </w:r>
      <w:r w:rsidRPr="00DF13FE">
        <w:rPr>
          <w:rFonts w:ascii="Verdana" w:eastAsia="Verdana" w:hAnsi="Verdana" w:cs="Verdana"/>
          <w:bCs/>
          <w:spacing w:val="1"/>
          <w:position w:val="-1"/>
          <w:sz w:val="20"/>
        </w:rPr>
        <w:t xml:space="preserve">he proposed holiday would take place during the second week of August. </w:t>
      </w:r>
    </w:p>
    <w:p w:rsidR="00E92351" w:rsidRPr="00E92351" w:rsidRDefault="00E92351" w:rsidP="00AB798F">
      <w:pPr>
        <w:pStyle w:val="NoSpacing"/>
        <w:rPr>
          <w:rFonts w:ascii="Verdana" w:eastAsia="Verdana" w:hAnsi="Verdana" w:cs="Verdana"/>
          <w:b/>
          <w:bCs/>
          <w:caps/>
          <w:spacing w:val="1"/>
          <w:position w:val="-1"/>
          <w:sz w:val="22"/>
          <w:u w:val="thick"/>
        </w:rPr>
      </w:pPr>
      <w:r w:rsidRPr="00E92351">
        <w:rPr>
          <w:rFonts w:ascii="Verdana" w:eastAsia="Verdana" w:hAnsi="Verdana" w:cs="Verdana"/>
          <w:b/>
          <w:bCs/>
          <w:caps/>
          <w:spacing w:val="1"/>
          <w:position w:val="-1"/>
          <w:sz w:val="22"/>
          <w:u w:val="thick"/>
        </w:rPr>
        <w:t>Potential Property Tax Assessment Legislation</w:t>
      </w:r>
    </w:p>
    <w:p w:rsidR="00E92351" w:rsidRDefault="00E92351" w:rsidP="00AB798F">
      <w:pPr>
        <w:pStyle w:val="NoSpacing"/>
        <w:rPr>
          <w:rFonts w:ascii="Verdana" w:eastAsia="Verdana" w:hAnsi="Verdana" w:cs="Verdana"/>
          <w:bCs/>
          <w:spacing w:val="1"/>
          <w:position w:val="-1"/>
          <w:sz w:val="20"/>
        </w:rPr>
      </w:pPr>
      <w:r>
        <w:rPr>
          <w:rFonts w:ascii="Verdana" w:eastAsia="Verdana" w:hAnsi="Verdana" w:cs="Verdana"/>
          <w:bCs/>
          <w:spacing w:val="1"/>
          <w:position w:val="-1"/>
          <w:sz w:val="20"/>
        </w:rPr>
        <w:t xml:space="preserve">Representative Michael </w:t>
      </w:r>
      <w:proofErr w:type="spellStart"/>
      <w:r>
        <w:rPr>
          <w:rFonts w:ascii="Verdana" w:eastAsia="Verdana" w:hAnsi="Verdana" w:cs="Verdana"/>
          <w:bCs/>
          <w:spacing w:val="1"/>
          <w:position w:val="-1"/>
          <w:sz w:val="20"/>
        </w:rPr>
        <w:t>Corr</w:t>
      </w:r>
      <w:proofErr w:type="spellEnd"/>
      <w:r>
        <w:rPr>
          <w:rFonts w:ascii="Verdana" w:eastAsia="Verdana" w:hAnsi="Verdana" w:cs="Verdana"/>
          <w:bCs/>
          <w:spacing w:val="1"/>
          <w:position w:val="-1"/>
          <w:sz w:val="20"/>
        </w:rPr>
        <w:t xml:space="preserve"> circulated co-sponsorship memorandum for legislation to exempt changes made to properties for the accessibility of an individual with a disability from a change in assessed value or taxation. Under the legislation, exceptions would be granted only upon application by the property owner on a form prescribed by the State Tax Equalization Board and filed with the county assessor. </w:t>
      </w:r>
    </w:p>
    <w:p w:rsidR="001C7E9A" w:rsidRPr="00FA1DEF" w:rsidRDefault="001C7E9A" w:rsidP="00FA1DEF">
      <w:pPr>
        <w:pStyle w:val="NoSpacing"/>
        <w:rPr>
          <w:rFonts w:ascii="Verdana" w:hAnsi="Verdana"/>
          <w:caps/>
          <w:sz w:val="22"/>
          <w:szCs w:val="20"/>
          <w:u w:val="thick"/>
        </w:rPr>
      </w:pPr>
      <w:r w:rsidRPr="00FA1DEF">
        <w:rPr>
          <w:rStyle w:val="Strong"/>
          <w:rFonts w:ascii="Verdana" w:hAnsi="Verdana" w:cs="Arial"/>
          <w:caps/>
          <w:color w:val="000000"/>
          <w:sz w:val="22"/>
          <w:szCs w:val="20"/>
          <w:u w:val="thick"/>
        </w:rPr>
        <w:t>Wolf Administration Advises Consumers to ‘Take Control’ of Their Personal and Financial Data Following Equifax Breach</w:t>
      </w:r>
    </w:p>
    <w:p w:rsidR="001C7E9A" w:rsidRPr="001C7E9A" w:rsidRDefault="001C7E9A" w:rsidP="001C7E9A">
      <w:pPr>
        <w:pStyle w:val="NoSpacing"/>
        <w:rPr>
          <w:rFonts w:ascii="Verdana" w:hAnsi="Verdana"/>
          <w:sz w:val="20"/>
          <w:szCs w:val="20"/>
        </w:rPr>
      </w:pPr>
      <w:r w:rsidRPr="001C7E9A">
        <w:rPr>
          <w:rFonts w:ascii="Verdana" w:hAnsi="Verdana"/>
          <w:sz w:val="20"/>
          <w:szCs w:val="20"/>
        </w:rPr>
        <w:t>Following the recent announcement that hackers had gained access to consumer data from Equifax, one of the three major credit-reporting agencies, Secretary of Banking and Securities Robin L. </w:t>
      </w:r>
      <w:proofErr w:type="spellStart"/>
      <w:r w:rsidRPr="001C7E9A">
        <w:rPr>
          <w:rStyle w:val="spelle"/>
          <w:rFonts w:ascii="Verdana" w:hAnsi="Verdana" w:cs="Arial"/>
          <w:color w:val="000000"/>
          <w:sz w:val="20"/>
          <w:szCs w:val="20"/>
        </w:rPr>
        <w:t>Wiessmann</w:t>
      </w:r>
      <w:proofErr w:type="spellEnd"/>
      <w:r w:rsidR="0064369B" w:rsidRPr="001C7E9A">
        <w:rPr>
          <w:rFonts w:ascii="Verdana" w:hAnsi="Verdana"/>
          <w:sz w:val="20"/>
          <w:szCs w:val="20"/>
        </w:rPr>
        <w:t> advised</w:t>
      </w:r>
      <w:r w:rsidRPr="001C7E9A">
        <w:rPr>
          <w:rFonts w:ascii="Verdana" w:hAnsi="Verdana"/>
          <w:sz w:val="20"/>
          <w:szCs w:val="20"/>
        </w:rPr>
        <w:t xml:space="preserve"> consumers to take control of their personal and financial data.</w:t>
      </w:r>
      <w:r w:rsidR="00FA1DEF">
        <w:rPr>
          <w:rFonts w:ascii="Verdana" w:hAnsi="Verdana"/>
          <w:sz w:val="20"/>
          <w:szCs w:val="20"/>
        </w:rPr>
        <w:t xml:space="preserve"> </w:t>
      </w:r>
      <w:r w:rsidRPr="001C7E9A">
        <w:rPr>
          <w:rFonts w:ascii="Verdana" w:hAnsi="Verdana"/>
          <w:sz w:val="20"/>
          <w:szCs w:val="20"/>
        </w:rPr>
        <w:t xml:space="preserve">When consumers apply for credit cards, bank accounts, or loans, lenders rely on this information supplied by Equifax and the other two major credit reporting agencies, Experian and </w:t>
      </w:r>
      <w:proofErr w:type="spellStart"/>
      <w:r w:rsidRPr="001C7E9A">
        <w:rPr>
          <w:rFonts w:ascii="Verdana" w:hAnsi="Verdana"/>
          <w:sz w:val="20"/>
          <w:szCs w:val="20"/>
        </w:rPr>
        <w:t>TransUnion</w:t>
      </w:r>
      <w:proofErr w:type="spellEnd"/>
      <w:r w:rsidRPr="001C7E9A">
        <w:rPr>
          <w:rFonts w:ascii="Verdana" w:hAnsi="Verdana"/>
          <w:sz w:val="20"/>
          <w:szCs w:val="20"/>
        </w:rPr>
        <w:t>. Equifax announced that data of 143 million American consumers may have been compromised, including names, Social Security numbers, birth dates, addresses, and even drivers’ license numbers and credit card numbers.</w:t>
      </w:r>
      <w:r w:rsidR="00FA1DEF">
        <w:rPr>
          <w:rFonts w:ascii="Verdana" w:hAnsi="Verdana"/>
          <w:sz w:val="20"/>
          <w:szCs w:val="20"/>
        </w:rPr>
        <w:t xml:space="preserve"> </w:t>
      </w:r>
    </w:p>
    <w:p w:rsidR="00903FB5" w:rsidRPr="00903FB5" w:rsidRDefault="00903FB5" w:rsidP="00903FB5">
      <w:pPr>
        <w:pStyle w:val="NoSpacing"/>
        <w:rPr>
          <w:rFonts w:ascii="Verdana" w:hAnsi="Verdana"/>
          <w:caps/>
          <w:sz w:val="22"/>
          <w:szCs w:val="20"/>
          <w:u w:val="thick"/>
        </w:rPr>
      </w:pPr>
      <w:r w:rsidRPr="00903FB5">
        <w:rPr>
          <w:rStyle w:val="Strong"/>
          <w:rFonts w:ascii="Verdana" w:hAnsi="Verdana"/>
          <w:caps/>
          <w:color w:val="000000"/>
          <w:sz w:val="22"/>
          <w:szCs w:val="20"/>
          <w:u w:val="thick"/>
        </w:rPr>
        <w:t>McGinnis Pushes for More Action on Pennsylvania’s Pension Crisis</w:t>
      </w:r>
    </w:p>
    <w:p w:rsidR="00903FB5" w:rsidRPr="00903FB5" w:rsidRDefault="00903FB5" w:rsidP="00903FB5">
      <w:pPr>
        <w:pStyle w:val="NoSpacing"/>
        <w:rPr>
          <w:rFonts w:ascii="Verdana" w:hAnsi="Verdana"/>
          <w:sz w:val="20"/>
          <w:szCs w:val="20"/>
        </w:rPr>
      </w:pPr>
      <w:r w:rsidRPr="00903FB5">
        <w:rPr>
          <w:rFonts w:ascii="Verdana" w:hAnsi="Verdana"/>
          <w:sz w:val="20"/>
          <w:szCs w:val="20"/>
        </w:rPr>
        <w:t>Rep. John McGinnis (R-Blair) joined other pension reform advocates at a Capitol news conference to urge the General Assembly to continue working on addressing Pennsylvania’s public pension crisis.</w:t>
      </w:r>
      <w:r>
        <w:rPr>
          <w:rFonts w:ascii="Verdana" w:hAnsi="Verdana"/>
          <w:sz w:val="20"/>
          <w:szCs w:val="20"/>
        </w:rPr>
        <w:t xml:space="preserve"> </w:t>
      </w:r>
      <w:r w:rsidRPr="00903FB5">
        <w:rPr>
          <w:rFonts w:ascii="Verdana" w:hAnsi="Verdana"/>
          <w:sz w:val="20"/>
          <w:szCs w:val="20"/>
        </w:rPr>
        <w:t xml:space="preserve">According to McGinnis, the consequences of the crisis in the near term include more than $4 billion in pension expenses </w:t>
      </w:r>
      <w:r w:rsidRPr="00903FB5">
        <w:rPr>
          <w:rFonts w:ascii="Verdana" w:hAnsi="Verdana"/>
          <w:sz w:val="20"/>
          <w:szCs w:val="20"/>
        </w:rPr>
        <w:lastRenderedPageBreak/>
        <w:t>this fiscal year, but even that amount is insufficient to stop the growth of pension debt and will make for growing problems with future budgets. He pointed out that Pennsylvania remains on track for “D-Day” in 15 years, when state pension funds are fully depleted and every dollar paid to retirees will have to come out of the General Fund. McGinnis is the prime sponsor of legislation that eliminates the pension debt over a 20-year period, beginning with a real reduction in the debt in year one of the plan. House Bill 778 has been referred to the House State Government Committee for consideration.  </w:t>
      </w:r>
    </w:p>
    <w:p w:rsidR="00903FB5" w:rsidRPr="00903FB5" w:rsidRDefault="00903FB5" w:rsidP="00903FB5">
      <w:pPr>
        <w:pStyle w:val="NoSpacing"/>
        <w:rPr>
          <w:rFonts w:ascii="Verdana" w:hAnsi="Verdana"/>
          <w:b/>
          <w:caps/>
          <w:sz w:val="22"/>
          <w:u w:val="thick"/>
        </w:rPr>
      </w:pPr>
      <w:r w:rsidRPr="00903FB5">
        <w:rPr>
          <w:rFonts w:ascii="Verdana" w:hAnsi="Verdana"/>
          <w:b/>
          <w:caps/>
          <w:sz w:val="22"/>
          <w:u w:val="thick"/>
        </w:rPr>
        <w:t>DeLuca introduces bill to ban unscrupulous charities</w:t>
      </w:r>
    </w:p>
    <w:p w:rsidR="00903FB5" w:rsidRPr="0064369B" w:rsidRDefault="00903FB5" w:rsidP="00AB798F">
      <w:pPr>
        <w:pStyle w:val="NoSpacing"/>
        <w:rPr>
          <w:rFonts w:ascii="Verdana" w:hAnsi="Verdana"/>
          <w:sz w:val="20"/>
        </w:rPr>
      </w:pPr>
      <w:r w:rsidRPr="00903FB5">
        <w:rPr>
          <w:rFonts w:ascii="Verdana" w:hAnsi="Verdana"/>
          <w:sz w:val="20"/>
        </w:rPr>
        <w:t>State Rep. Tony DeLuca, D-Allegheny, announced he will be introducing a bill that would require charities that solicit funds in Pennsylvania maintain minimum standards.</w:t>
      </w:r>
      <w:r>
        <w:rPr>
          <w:rFonts w:ascii="Verdana" w:hAnsi="Verdana"/>
          <w:sz w:val="20"/>
        </w:rPr>
        <w:t xml:space="preserve"> </w:t>
      </w:r>
      <w:r w:rsidRPr="00903FB5">
        <w:rPr>
          <w:rFonts w:ascii="Verdana" w:hAnsi="Verdana"/>
          <w:sz w:val="20"/>
        </w:rPr>
        <w:t>DeLuca outlined the need for stronger regulations for charity expenses at a media event in the state Capitol.</w:t>
      </w:r>
      <w:r>
        <w:rPr>
          <w:rFonts w:ascii="Verdana" w:hAnsi="Verdana"/>
          <w:sz w:val="20"/>
        </w:rPr>
        <w:t xml:space="preserve"> </w:t>
      </w:r>
      <w:r w:rsidRPr="00903FB5">
        <w:rPr>
          <w:rFonts w:ascii="Verdana" w:hAnsi="Verdana"/>
          <w:sz w:val="20"/>
        </w:rPr>
        <w:t>House Bill 1669 will be introduced in the near future. Under the bill, a charitable organization that fails to meet the 65 percent minimum would be prohibited from fundraising in Pennsylvania until the Pennsylvania Department of State verifies that they have reached that threshold.</w:t>
      </w:r>
    </w:p>
    <w:p w:rsidR="00CF6C03" w:rsidRPr="00AB798F" w:rsidRDefault="00BA01E5" w:rsidP="00AB798F">
      <w:pPr>
        <w:pStyle w:val="NoSpacing"/>
        <w:rPr>
          <w:rFonts w:ascii="Verdana" w:hAnsi="Verdana"/>
          <w:color w:val="000000"/>
          <w:sz w:val="18"/>
          <w:szCs w:val="20"/>
        </w:rPr>
      </w:pPr>
      <w:r w:rsidRPr="000D15C3">
        <w:rPr>
          <w:rFonts w:ascii="Verdana" w:eastAsia="Verdana" w:hAnsi="Verdana" w:cs="Verdana"/>
          <w:b/>
          <w:bCs/>
          <w:spacing w:val="1"/>
          <w:position w:val="-1"/>
          <w:sz w:val="22"/>
          <w:u w:val="thick" w:color="000000"/>
        </w:rPr>
        <w:t>P</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NN</w:t>
      </w:r>
      <w:r w:rsidRPr="000D15C3">
        <w:rPr>
          <w:rFonts w:ascii="Verdana" w:eastAsia="Verdana" w:hAnsi="Verdana" w:cs="Verdana"/>
          <w:b/>
          <w:bCs/>
          <w:spacing w:val="2"/>
          <w:position w:val="-1"/>
          <w:sz w:val="22"/>
          <w:u w:val="thick" w:color="000000"/>
        </w:rPr>
        <w:t>S</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1"/>
          <w:position w:val="-1"/>
          <w:sz w:val="22"/>
          <w:u w:val="thick" w:color="000000"/>
        </w:rPr>
        <w:t>LV</w:t>
      </w:r>
      <w:r w:rsidRPr="000D15C3">
        <w:rPr>
          <w:rFonts w:ascii="Verdana" w:eastAsia="Verdana" w:hAnsi="Verdana" w:cs="Verdana"/>
          <w:b/>
          <w:bCs/>
          <w:spacing w:val="-3"/>
          <w:position w:val="-1"/>
          <w:sz w:val="22"/>
          <w:u w:val="thick" w:color="000000"/>
        </w:rPr>
        <w:t>A</w:t>
      </w:r>
      <w:r w:rsidRPr="000D15C3">
        <w:rPr>
          <w:rFonts w:ascii="Verdana" w:eastAsia="Verdana" w:hAnsi="Verdana" w:cs="Verdana"/>
          <w:b/>
          <w:bCs/>
          <w:position w:val="-1"/>
          <w:sz w:val="22"/>
          <w:u w:val="thick" w:color="000000"/>
        </w:rPr>
        <w:t>NIA</w:t>
      </w:r>
      <w:r w:rsidRPr="000D15C3">
        <w:rPr>
          <w:rFonts w:ascii="Verdana" w:eastAsia="Verdana" w:hAnsi="Verdana" w:cs="Verdana"/>
          <w:b/>
          <w:bCs/>
          <w:spacing w:val="2"/>
          <w:position w:val="-1"/>
          <w:sz w:val="22"/>
          <w:u w:val="thick" w:color="000000"/>
        </w:rPr>
        <w:t xml:space="preserve"> </w:t>
      </w:r>
      <w:r w:rsidRPr="000D15C3">
        <w:rPr>
          <w:rFonts w:ascii="Verdana" w:eastAsia="Verdana" w:hAnsi="Verdana" w:cs="Verdana"/>
          <w:b/>
          <w:bCs/>
          <w:spacing w:val="-2"/>
          <w:position w:val="-1"/>
          <w:sz w:val="22"/>
          <w:u w:val="thick" w:color="000000"/>
        </w:rPr>
        <w:t>GE</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R</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position w:val="-1"/>
          <w:sz w:val="22"/>
          <w:u w:val="thick" w:color="000000"/>
        </w:rPr>
        <w:t>L</w:t>
      </w:r>
      <w:r w:rsidRPr="000D15C3">
        <w:rPr>
          <w:rFonts w:ascii="Verdana" w:eastAsia="Verdana" w:hAnsi="Verdana" w:cs="Verdana"/>
          <w:b/>
          <w:bCs/>
          <w:spacing w:val="-5"/>
          <w:position w:val="-1"/>
          <w:sz w:val="22"/>
          <w:u w:val="thick" w:color="000000"/>
        </w:rPr>
        <w:t xml:space="preserve"> </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spacing w:val="-3"/>
          <w:position w:val="-1"/>
          <w:sz w:val="22"/>
          <w:u w:val="thick" w:color="000000"/>
        </w:rPr>
        <w:t>S</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2"/>
          <w:position w:val="-1"/>
          <w:sz w:val="22"/>
          <w:u w:val="thick" w:color="000000"/>
        </w:rPr>
        <w:t>M</w:t>
      </w:r>
      <w:r w:rsidRPr="000D15C3">
        <w:rPr>
          <w:rFonts w:ascii="Verdana" w:eastAsia="Verdana" w:hAnsi="Verdana" w:cs="Verdana"/>
          <w:b/>
          <w:bCs/>
          <w:position w:val="-1"/>
          <w:sz w:val="22"/>
          <w:u w:val="thick" w:color="000000"/>
        </w:rPr>
        <w:t>B</w:t>
      </w:r>
      <w:r w:rsidRPr="000D15C3">
        <w:rPr>
          <w:rFonts w:ascii="Verdana" w:eastAsia="Verdana" w:hAnsi="Verdana" w:cs="Verdana"/>
          <w:b/>
          <w:bCs/>
          <w:spacing w:val="-2"/>
          <w:position w:val="-1"/>
          <w:sz w:val="22"/>
          <w:u w:val="thick" w:color="000000"/>
        </w:rPr>
        <w:t>L</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3"/>
          <w:position w:val="-1"/>
          <w:sz w:val="22"/>
          <w:u w:val="thick" w:color="000000"/>
        </w:rPr>
        <w:t xml:space="preserve"> 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SS</w:t>
      </w:r>
      <w:r w:rsidRPr="000D15C3">
        <w:rPr>
          <w:rFonts w:ascii="Verdana" w:eastAsia="Verdana" w:hAnsi="Verdana" w:cs="Verdana"/>
          <w:b/>
          <w:bCs/>
          <w:position w:val="-1"/>
          <w:sz w:val="22"/>
          <w:u w:val="thick" w:color="000000"/>
        </w:rPr>
        <w:t>I</w:t>
      </w:r>
      <w:r w:rsidRPr="000D15C3">
        <w:rPr>
          <w:rFonts w:ascii="Verdana" w:eastAsia="Verdana" w:hAnsi="Verdana" w:cs="Verdana"/>
          <w:b/>
          <w:bCs/>
          <w:spacing w:val="-1"/>
          <w:position w:val="-1"/>
          <w:sz w:val="22"/>
          <w:u w:val="thick" w:color="000000"/>
        </w:rPr>
        <w:t>O</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3"/>
          <w:position w:val="-1"/>
          <w:sz w:val="22"/>
          <w:u w:val="thick" w:color="000000"/>
        </w:rPr>
        <w:t xml:space="preserve"> </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C</w:t>
      </w:r>
      <w:r w:rsidRPr="000D15C3">
        <w:rPr>
          <w:rFonts w:ascii="Verdana" w:eastAsia="Verdana" w:hAnsi="Verdana" w:cs="Verdana"/>
          <w:b/>
          <w:bCs/>
          <w:spacing w:val="2"/>
          <w:position w:val="-1"/>
          <w:sz w:val="22"/>
          <w:u w:val="thick" w:color="000000"/>
        </w:rPr>
        <w:t>H</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D</w:t>
      </w:r>
      <w:r w:rsidRPr="000D15C3">
        <w:rPr>
          <w:rFonts w:ascii="Verdana" w:eastAsia="Verdana" w:hAnsi="Verdana" w:cs="Verdana"/>
          <w:b/>
          <w:bCs/>
          <w:spacing w:val="-2"/>
          <w:position w:val="-1"/>
          <w:sz w:val="22"/>
          <w:u w:val="thick" w:color="000000"/>
        </w:rPr>
        <w:t>UL</w:t>
      </w:r>
      <w:r w:rsidRPr="000D15C3">
        <w:rPr>
          <w:rFonts w:ascii="Verdana" w:eastAsia="Verdana" w:hAnsi="Verdana" w:cs="Verdana"/>
          <w:b/>
          <w:bCs/>
          <w:spacing w:val="4"/>
          <w:position w:val="-1"/>
          <w:sz w:val="22"/>
          <w:u w:val="thick" w:color="000000"/>
        </w:rPr>
        <w:t>E</w:t>
      </w:r>
      <w:r w:rsidRPr="000D15C3">
        <w:rPr>
          <w:rFonts w:ascii="Verdana" w:eastAsia="Verdana" w:hAnsi="Verdana" w:cs="Verdana"/>
          <w:b/>
          <w:bCs/>
          <w:position w:val="-1"/>
          <w:sz w:val="22"/>
        </w:rPr>
        <w:t>:</w:t>
      </w:r>
    </w:p>
    <w:p w:rsidR="00D34264" w:rsidRPr="00EC16C0" w:rsidRDefault="00D34264" w:rsidP="00D34264">
      <w:pPr>
        <w:pStyle w:val="NoSpacing"/>
        <w:spacing w:before="0" w:beforeAutospacing="0" w:after="0" w:afterAutospacing="0"/>
        <w:rPr>
          <w:rFonts w:ascii="Verdana" w:hAnsi="Verdana"/>
          <w:b/>
          <w:sz w:val="20"/>
          <w:szCs w:val="20"/>
        </w:rPr>
      </w:pPr>
      <w:r w:rsidRPr="00EC16C0">
        <w:rPr>
          <w:rFonts w:ascii="Verdana" w:hAnsi="Verdana"/>
          <w:b/>
          <w:bCs/>
          <w:sz w:val="20"/>
          <w:szCs w:val="20"/>
        </w:rPr>
        <w:t>2017 SENATE SESSION SCHEDULE</w:t>
      </w:r>
    </w:p>
    <w:p w:rsidR="00D34264" w:rsidRPr="00EC16C0" w:rsidRDefault="00D34264" w:rsidP="00D34264">
      <w:pPr>
        <w:pStyle w:val="NoSpacing"/>
        <w:spacing w:before="0" w:beforeAutospacing="0" w:after="0" w:afterAutospacing="0"/>
        <w:rPr>
          <w:rFonts w:ascii="Verdana" w:hAnsi="Verdana"/>
          <w:sz w:val="20"/>
          <w:szCs w:val="20"/>
        </w:rPr>
      </w:pPr>
      <w:r w:rsidRPr="00EC16C0">
        <w:rPr>
          <w:rFonts w:ascii="Verdana" w:hAnsi="Verdana"/>
          <w:b/>
          <w:bCs/>
          <w:sz w:val="20"/>
          <w:szCs w:val="20"/>
        </w:rPr>
        <w:t>  </w:t>
      </w:r>
      <w:r w:rsidRPr="00EC16C0">
        <w:rPr>
          <w:rFonts w:ascii="Verdana" w:hAnsi="Verdana"/>
          <w:bCs/>
          <w:sz w:val="20"/>
          <w:szCs w:val="20"/>
        </w:rPr>
        <w:t> </w:t>
      </w:r>
    </w:p>
    <w:p w:rsidR="00CF6C03" w:rsidRPr="00EC16C0" w:rsidRDefault="00CF6C03" w:rsidP="00CF6C03">
      <w:pPr>
        <w:pStyle w:val="NoSpacing"/>
        <w:spacing w:before="0" w:beforeAutospacing="0" w:after="0" w:afterAutospacing="0" w:line="275" w:lineRule="atLeast"/>
        <w:rPr>
          <w:rFonts w:ascii="Verdana" w:hAnsi="Verdana"/>
          <w:color w:val="000000"/>
          <w:sz w:val="20"/>
          <w:szCs w:val="20"/>
        </w:rPr>
      </w:pPr>
      <w:r w:rsidRPr="00EC16C0">
        <w:rPr>
          <w:rFonts w:ascii="Verdana" w:hAnsi="Verdana"/>
          <w:bCs/>
          <w:color w:val="000000"/>
          <w:sz w:val="20"/>
          <w:szCs w:val="20"/>
        </w:rPr>
        <w:t>September      18, 19, 20</w:t>
      </w:r>
    </w:p>
    <w:p w:rsidR="00CF6C03" w:rsidRPr="00EC16C0" w:rsidRDefault="00CF6C03" w:rsidP="00CF6C03">
      <w:pPr>
        <w:pStyle w:val="NoSpacing"/>
        <w:spacing w:before="0" w:beforeAutospacing="0" w:after="0" w:afterAutospacing="0" w:line="275" w:lineRule="atLeast"/>
        <w:rPr>
          <w:rFonts w:ascii="Verdana" w:hAnsi="Verdana"/>
          <w:color w:val="000000"/>
          <w:sz w:val="20"/>
          <w:szCs w:val="20"/>
        </w:rPr>
      </w:pPr>
      <w:r w:rsidRPr="00EC16C0">
        <w:rPr>
          <w:rFonts w:ascii="Verdana" w:hAnsi="Verdana"/>
          <w:bCs/>
          <w:color w:val="000000"/>
          <w:sz w:val="20"/>
          <w:szCs w:val="20"/>
        </w:rPr>
        <w:t>October          16, 17, 18, 23, 24, 25</w:t>
      </w:r>
    </w:p>
    <w:p w:rsidR="00CF6C03" w:rsidRPr="00EC16C0" w:rsidRDefault="00CF6C03" w:rsidP="00CF6C03">
      <w:pPr>
        <w:pStyle w:val="NoSpacing"/>
        <w:spacing w:before="0" w:beforeAutospacing="0" w:after="0" w:afterAutospacing="0" w:line="275" w:lineRule="atLeast"/>
        <w:rPr>
          <w:rFonts w:ascii="Verdana" w:hAnsi="Verdana"/>
          <w:color w:val="000000"/>
          <w:sz w:val="20"/>
          <w:szCs w:val="20"/>
        </w:rPr>
      </w:pPr>
      <w:r w:rsidRPr="00EC16C0">
        <w:rPr>
          <w:rFonts w:ascii="Verdana" w:hAnsi="Verdana"/>
          <w:bCs/>
          <w:color w:val="000000"/>
          <w:sz w:val="20"/>
          <w:szCs w:val="20"/>
        </w:rPr>
        <w:t>November      13, 14, 15</w:t>
      </w:r>
    </w:p>
    <w:p w:rsidR="00CF6C03" w:rsidRPr="00EC16C0" w:rsidRDefault="00CF6C03" w:rsidP="00CF6C03">
      <w:pPr>
        <w:pStyle w:val="NoSpacing"/>
        <w:spacing w:before="0" w:beforeAutospacing="0" w:after="0" w:afterAutospacing="0" w:line="275" w:lineRule="atLeast"/>
        <w:rPr>
          <w:rFonts w:ascii="Verdana" w:hAnsi="Verdana"/>
          <w:bCs/>
          <w:color w:val="000000"/>
          <w:sz w:val="20"/>
          <w:szCs w:val="20"/>
        </w:rPr>
      </w:pPr>
      <w:r w:rsidRPr="00EC16C0">
        <w:rPr>
          <w:rFonts w:ascii="Verdana" w:hAnsi="Verdana"/>
          <w:bCs/>
          <w:color w:val="000000"/>
          <w:sz w:val="20"/>
          <w:szCs w:val="20"/>
        </w:rPr>
        <w:t>December       11, 12, 13, 18, 19, 20</w:t>
      </w:r>
    </w:p>
    <w:p w:rsidR="002C6DEE" w:rsidRDefault="002C6DEE" w:rsidP="00B7758B">
      <w:pPr>
        <w:pStyle w:val="NoSpacing"/>
        <w:spacing w:before="0" w:beforeAutospacing="0" w:after="0" w:afterAutospacing="0"/>
        <w:rPr>
          <w:rFonts w:ascii="Verdana" w:hAnsi="Verdana"/>
          <w:b/>
          <w:sz w:val="20"/>
        </w:rPr>
      </w:pPr>
    </w:p>
    <w:p w:rsidR="00B7758B" w:rsidRPr="00EC16C0" w:rsidRDefault="004A61A3" w:rsidP="00B7758B">
      <w:pPr>
        <w:pStyle w:val="NoSpacing"/>
        <w:spacing w:before="0" w:beforeAutospacing="0" w:after="0" w:afterAutospacing="0"/>
        <w:rPr>
          <w:rFonts w:ascii="Verdana" w:hAnsi="Verdana"/>
          <w:b/>
          <w:sz w:val="20"/>
        </w:rPr>
      </w:pPr>
      <w:r w:rsidRPr="00EC16C0">
        <w:rPr>
          <w:rFonts w:ascii="Verdana" w:hAnsi="Verdana"/>
          <w:b/>
          <w:sz w:val="20"/>
        </w:rPr>
        <w:t>2017</w:t>
      </w:r>
      <w:r w:rsidR="00B7758B" w:rsidRPr="00EC16C0">
        <w:rPr>
          <w:rFonts w:ascii="Verdana" w:hAnsi="Verdana"/>
          <w:b/>
          <w:sz w:val="20"/>
        </w:rPr>
        <w:t xml:space="preserve"> HOUSE SESSION SCHEDULE</w:t>
      </w:r>
    </w:p>
    <w:p w:rsidR="00CF6C03" w:rsidRPr="00EC16C0" w:rsidRDefault="00CF6C03" w:rsidP="00B7758B">
      <w:pPr>
        <w:pStyle w:val="NoSpacing"/>
        <w:spacing w:before="0" w:beforeAutospacing="0" w:after="0" w:afterAutospacing="0"/>
        <w:rPr>
          <w:rFonts w:ascii="Verdana" w:hAnsi="Verdana"/>
          <w:b/>
          <w:sz w:val="20"/>
        </w:rPr>
      </w:pPr>
    </w:p>
    <w:p w:rsidR="00CF6C03" w:rsidRPr="00EC16C0" w:rsidRDefault="00CF6C03" w:rsidP="00CF6C03">
      <w:pPr>
        <w:pStyle w:val="NoSpacing"/>
        <w:spacing w:before="0" w:beforeAutospacing="0" w:after="0" w:afterAutospacing="0" w:line="275" w:lineRule="atLeast"/>
        <w:rPr>
          <w:rFonts w:ascii="Verdana" w:hAnsi="Verdana"/>
          <w:color w:val="000000"/>
          <w:sz w:val="18"/>
          <w:szCs w:val="22"/>
        </w:rPr>
      </w:pPr>
      <w:r w:rsidRPr="00EC16C0">
        <w:rPr>
          <w:rFonts w:ascii="Verdana" w:hAnsi="Verdana"/>
          <w:color w:val="000000"/>
          <w:sz w:val="20"/>
        </w:rPr>
        <w:t>September       25, 26, 27</w:t>
      </w:r>
    </w:p>
    <w:p w:rsidR="00CF6C03" w:rsidRPr="00EC16C0" w:rsidRDefault="00CF6C03" w:rsidP="00CF6C03">
      <w:pPr>
        <w:pStyle w:val="NoSpacing"/>
        <w:spacing w:before="0" w:beforeAutospacing="0" w:after="0" w:afterAutospacing="0" w:line="275" w:lineRule="atLeast"/>
        <w:rPr>
          <w:rFonts w:ascii="Verdana" w:hAnsi="Verdana"/>
          <w:color w:val="000000"/>
          <w:sz w:val="18"/>
          <w:szCs w:val="22"/>
        </w:rPr>
      </w:pPr>
      <w:r w:rsidRPr="00EC16C0">
        <w:rPr>
          <w:rFonts w:ascii="Verdana" w:hAnsi="Verdana"/>
          <w:color w:val="000000"/>
          <w:sz w:val="20"/>
        </w:rPr>
        <w:t>October           2, 3, 4, 16, 17, 18, 23, 24, 25</w:t>
      </w:r>
    </w:p>
    <w:p w:rsidR="00CF6C03" w:rsidRPr="00EC16C0" w:rsidRDefault="00CF6C03" w:rsidP="00CF6C03">
      <w:pPr>
        <w:pStyle w:val="NoSpacing"/>
        <w:spacing w:before="0" w:beforeAutospacing="0" w:after="0" w:afterAutospacing="0" w:line="275" w:lineRule="atLeast"/>
        <w:rPr>
          <w:rFonts w:ascii="Verdana" w:hAnsi="Verdana"/>
          <w:color w:val="000000"/>
          <w:sz w:val="18"/>
          <w:szCs w:val="22"/>
        </w:rPr>
      </w:pPr>
      <w:r w:rsidRPr="00EC16C0">
        <w:rPr>
          <w:rFonts w:ascii="Verdana" w:hAnsi="Verdana"/>
          <w:color w:val="000000"/>
          <w:sz w:val="20"/>
        </w:rPr>
        <w:t>November       13, 14, 15, 20, 21, 22</w:t>
      </w:r>
    </w:p>
    <w:p w:rsidR="00CF6C03" w:rsidRPr="00EC16C0" w:rsidRDefault="00CF6C03" w:rsidP="00CF6C03">
      <w:pPr>
        <w:pStyle w:val="NoSpacing"/>
        <w:spacing w:before="0" w:beforeAutospacing="0" w:after="0" w:afterAutospacing="0" w:line="275" w:lineRule="atLeast"/>
        <w:rPr>
          <w:rFonts w:ascii="Verdana" w:hAnsi="Verdana"/>
          <w:color w:val="000000"/>
          <w:sz w:val="18"/>
          <w:szCs w:val="22"/>
        </w:rPr>
      </w:pPr>
      <w:r w:rsidRPr="00EC16C0">
        <w:rPr>
          <w:rFonts w:ascii="Verdana" w:hAnsi="Verdana"/>
          <w:color w:val="000000"/>
          <w:sz w:val="20"/>
        </w:rPr>
        <w:t>December        4, 5, 6, 11, 12, 13, 18, 19, 20</w:t>
      </w:r>
    </w:p>
    <w:p w:rsidR="00CA2D53" w:rsidRDefault="00CA2D53" w:rsidP="00F158C4">
      <w:pPr>
        <w:spacing w:after="0" w:line="240" w:lineRule="auto"/>
        <w:rPr>
          <w:rFonts w:ascii="Verdana" w:eastAsia="Verdana" w:hAnsi="Verdana" w:cs="Verdana"/>
          <w:b/>
          <w:bCs/>
          <w:position w:val="-2"/>
          <w:u w:val="thick" w:color="000000"/>
        </w:rPr>
      </w:pPr>
    </w:p>
    <w:p w:rsidR="00F158C4" w:rsidRDefault="00F158C4" w:rsidP="00F158C4">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UPCOMING HEARINGS</w:t>
      </w:r>
    </w:p>
    <w:p w:rsidR="00F158C4" w:rsidRPr="00EC16C0" w:rsidRDefault="00F158C4" w:rsidP="00F158C4">
      <w:pPr>
        <w:spacing w:after="0" w:line="240" w:lineRule="auto"/>
        <w:rPr>
          <w:rFonts w:ascii="Verdana" w:eastAsia="Verdana" w:hAnsi="Verdana" w:cs="Verdana"/>
          <w:b/>
          <w:bCs/>
          <w:position w:val="-2"/>
          <w:sz w:val="14"/>
          <w:u w:val="thick" w:color="000000"/>
        </w:rPr>
      </w:pPr>
    </w:p>
    <w:p w:rsidR="00903FB5" w:rsidRPr="0064369B" w:rsidRDefault="00903FB5" w:rsidP="00903FB5">
      <w:pPr>
        <w:rPr>
          <w:sz w:val="19"/>
          <w:szCs w:val="19"/>
        </w:rPr>
      </w:pPr>
      <w:hyperlink r:id="rId10" w:tgtFrame="MainBody" w:history="1">
        <w:r w:rsidRPr="0064369B">
          <w:rPr>
            <w:rStyle w:val="Hyperlink"/>
            <w:rFonts w:ascii="Verdana" w:hAnsi="Verdana"/>
            <w:b/>
            <w:bCs/>
            <w:sz w:val="19"/>
            <w:szCs w:val="19"/>
          </w:rPr>
          <w:t>Senate Democratic Policy Committee</w:t>
        </w:r>
      </w:hyperlink>
      <w:r w:rsidRPr="0064369B">
        <w:rPr>
          <w:rFonts w:ascii="Verdana" w:hAnsi="Verdana"/>
          <w:b/>
          <w:bCs/>
          <w:sz w:val="19"/>
          <w:szCs w:val="19"/>
        </w:rPr>
        <w:t> </w:t>
      </w:r>
      <w:r w:rsidRPr="0064369B">
        <w:rPr>
          <w:rFonts w:ascii="Verdana" w:hAnsi="Verdana"/>
          <w:b/>
          <w:bCs/>
          <w:color w:val="000000"/>
          <w:sz w:val="19"/>
          <w:szCs w:val="19"/>
        </w:rPr>
        <w:t> </w:t>
      </w:r>
      <w:r w:rsidRPr="0064369B">
        <w:rPr>
          <w:rFonts w:ascii="Verdana" w:hAnsi="Verdana"/>
          <w:b/>
          <w:bCs/>
          <w:sz w:val="19"/>
          <w:szCs w:val="19"/>
        </w:rPr>
        <w:t>  </w:t>
      </w:r>
      <w:r w:rsidRPr="0064369B">
        <w:rPr>
          <w:rFonts w:ascii="Verdana" w:hAnsi="Verdana"/>
          <w:b/>
          <w:bCs/>
          <w:color w:val="BB0000"/>
          <w:sz w:val="19"/>
          <w:szCs w:val="19"/>
        </w:rPr>
        <w:t>  </w:t>
      </w:r>
      <w:r w:rsidRPr="0064369B">
        <w:rPr>
          <w:sz w:val="19"/>
          <w:szCs w:val="19"/>
        </w:rPr>
        <w:br/>
      </w:r>
      <w:r w:rsidRPr="0064369B">
        <w:rPr>
          <w:rFonts w:ascii="Verdana" w:hAnsi="Verdana"/>
          <w:b/>
          <w:bCs/>
          <w:sz w:val="19"/>
          <w:szCs w:val="19"/>
        </w:rPr>
        <w:t>WEDNESDAY - 9/20/17</w:t>
      </w:r>
      <w:r w:rsidRPr="0064369B">
        <w:rPr>
          <w:sz w:val="19"/>
          <w:szCs w:val="19"/>
        </w:rPr>
        <w:br/>
      </w:r>
      <w:r w:rsidRPr="0064369B">
        <w:rPr>
          <w:rFonts w:ascii="Verdana" w:hAnsi="Verdana"/>
          <w:b/>
          <w:bCs/>
          <w:sz w:val="19"/>
          <w:szCs w:val="19"/>
        </w:rPr>
        <w:t>6:00 p.m., Bethlehem Twp. Municipal Building, 4225 Easton Ave., Bethlehem</w:t>
      </w:r>
    </w:p>
    <w:tbl>
      <w:tblPr>
        <w:tblW w:w="5000" w:type="pct"/>
        <w:tblCellSpacing w:w="15" w:type="dxa"/>
        <w:tblCellMar>
          <w:top w:w="15" w:type="dxa"/>
          <w:left w:w="15" w:type="dxa"/>
          <w:bottom w:w="15" w:type="dxa"/>
          <w:right w:w="15" w:type="dxa"/>
        </w:tblCellMar>
        <w:tblLook w:val="04A0"/>
      </w:tblPr>
      <w:tblGrid>
        <w:gridCol w:w="270"/>
        <w:gridCol w:w="10800"/>
      </w:tblGrid>
      <w:tr w:rsidR="00903FB5" w:rsidRPr="0064369B" w:rsidTr="00903FB5">
        <w:trPr>
          <w:tblCellSpacing w:w="15" w:type="dxa"/>
        </w:trPr>
        <w:tc>
          <w:tcPr>
            <w:tcW w:w="225" w:type="dxa"/>
            <w:vAlign w:val="center"/>
            <w:hideMark/>
          </w:tcPr>
          <w:p w:rsidR="00903FB5" w:rsidRPr="0064369B" w:rsidRDefault="00903FB5">
            <w:pPr>
              <w:rPr>
                <w:sz w:val="19"/>
                <w:szCs w:val="19"/>
              </w:rPr>
            </w:pPr>
            <w:r w:rsidRPr="0064369B">
              <w:rPr>
                <w:sz w:val="19"/>
                <w:szCs w:val="19"/>
              </w:rPr>
              <w:t> </w:t>
            </w:r>
          </w:p>
        </w:tc>
        <w:tc>
          <w:tcPr>
            <w:tcW w:w="0" w:type="auto"/>
            <w:vAlign w:val="center"/>
            <w:hideMark/>
          </w:tcPr>
          <w:p w:rsidR="00903FB5" w:rsidRPr="0064369B" w:rsidRDefault="00903FB5">
            <w:pPr>
              <w:spacing w:after="240"/>
              <w:rPr>
                <w:sz w:val="19"/>
                <w:szCs w:val="19"/>
              </w:rPr>
            </w:pPr>
            <w:r w:rsidRPr="0064369B">
              <w:rPr>
                <w:rFonts w:ascii="Verdana" w:hAnsi="Verdana"/>
                <w:color w:val="000000"/>
                <w:sz w:val="19"/>
                <w:szCs w:val="19"/>
                <w:shd w:val="clear" w:color="auto" w:fill="FFFFFF"/>
              </w:rPr>
              <w:t>Joint public forum with the Senate Republican Policy Committee on existing</w:t>
            </w:r>
            <w:r w:rsidRPr="0064369B">
              <w:rPr>
                <w:rFonts w:ascii="Verdana" w:hAnsi="Verdana"/>
                <w:color w:val="000000"/>
                <w:sz w:val="19"/>
                <w:szCs w:val="19"/>
              </w:rPr>
              <w:br/>
            </w:r>
            <w:r w:rsidRPr="0064369B">
              <w:rPr>
                <w:rFonts w:ascii="Verdana" w:hAnsi="Verdana"/>
                <w:color w:val="000000"/>
                <w:sz w:val="19"/>
                <w:szCs w:val="19"/>
                <w:shd w:val="clear" w:color="auto" w:fill="FFFFFF"/>
              </w:rPr>
              <w:t>school property tax system</w:t>
            </w:r>
          </w:p>
        </w:tc>
      </w:tr>
    </w:tbl>
    <w:p w:rsidR="00903FB5" w:rsidRPr="0064369B" w:rsidRDefault="00903FB5" w:rsidP="00903FB5">
      <w:pPr>
        <w:rPr>
          <w:sz w:val="19"/>
          <w:szCs w:val="19"/>
        </w:rPr>
      </w:pPr>
      <w:hyperlink r:id="rId11" w:tgtFrame="MainBody" w:history="1">
        <w:r w:rsidRPr="0064369B">
          <w:rPr>
            <w:rStyle w:val="Hyperlink"/>
            <w:rFonts w:ascii="Verdana" w:hAnsi="Verdana"/>
            <w:b/>
            <w:bCs/>
            <w:sz w:val="19"/>
            <w:szCs w:val="19"/>
            <w:shd w:val="clear" w:color="auto" w:fill="FFFFFF"/>
          </w:rPr>
          <w:t>House Finance</w:t>
        </w:r>
      </w:hyperlink>
      <w:r w:rsidRPr="0064369B">
        <w:rPr>
          <w:rFonts w:ascii="Verdana" w:hAnsi="Verdana"/>
          <w:b/>
          <w:bCs/>
          <w:color w:val="000000"/>
          <w:sz w:val="19"/>
          <w:szCs w:val="19"/>
          <w:shd w:val="clear" w:color="auto" w:fill="FFFFFF"/>
        </w:rPr>
        <w:t> (PUBLIC HEARING)  </w:t>
      </w:r>
      <w:r w:rsidRPr="0064369B">
        <w:rPr>
          <w:rFonts w:ascii="Verdana" w:hAnsi="Verdana"/>
          <w:b/>
          <w:bCs/>
          <w:color w:val="BB0000"/>
          <w:sz w:val="19"/>
          <w:szCs w:val="19"/>
          <w:shd w:val="clear" w:color="auto" w:fill="FFFFFF"/>
        </w:rPr>
        <w:t>  </w:t>
      </w:r>
      <w:r w:rsidRPr="0064369B">
        <w:rPr>
          <w:rFonts w:ascii="Verdana" w:hAnsi="Verdana"/>
          <w:color w:val="000000"/>
          <w:sz w:val="19"/>
          <w:szCs w:val="19"/>
        </w:rPr>
        <w:br/>
      </w:r>
      <w:r w:rsidRPr="0064369B">
        <w:rPr>
          <w:rFonts w:ascii="Verdana" w:hAnsi="Verdana"/>
          <w:b/>
          <w:bCs/>
          <w:color w:val="000000"/>
          <w:sz w:val="19"/>
          <w:szCs w:val="19"/>
          <w:shd w:val="clear" w:color="auto" w:fill="FFFFFF"/>
        </w:rPr>
        <w:t>THURSDAY - 9/28/17</w:t>
      </w:r>
      <w:r w:rsidRPr="0064369B">
        <w:rPr>
          <w:rFonts w:ascii="Verdana" w:hAnsi="Verdana"/>
          <w:color w:val="000000"/>
          <w:sz w:val="19"/>
          <w:szCs w:val="19"/>
        </w:rPr>
        <w:br/>
      </w:r>
      <w:r w:rsidRPr="0064369B">
        <w:rPr>
          <w:rFonts w:ascii="Verdana" w:hAnsi="Verdana"/>
          <w:b/>
          <w:bCs/>
          <w:color w:val="000000"/>
          <w:sz w:val="19"/>
          <w:szCs w:val="19"/>
          <w:shd w:val="clear" w:color="auto" w:fill="FFFFFF"/>
        </w:rPr>
        <w:t>10:00 a.m., Chestnut Hill Township Building, 271 PA-715, Brodheadsville</w:t>
      </w:r>
    </w:p>
    <w:tbl>
      <w:tblPr>
        <w:tblW w:w="5000" w:type="pct"/>
        <w:tblCellSpacing w:w="15" w:type="dxa"/>
        <w:shd w:val="clear" w:color="auto" w:fill="FFFFFF"/>
        <w:tblCellMar>
          <w:top w:w="15" w:type="dxa"/>
          <w:left w:w="15" w:type="dxa"/>
          <w:bottom w:w="15" w:type="dxa"/>
          <w:right w:w="15" w:type="dxa"/>
        </w:tblCellMar>
        <w:tblLook w:val="04A0"/>
      </w:tblPr>
      <w:tblGrid>
        <w:gridCol w:w="270"/>
        <w:gridCol w:w="10800"/>
      </w:tblGrid>
      <w:tr w:rsidR="00903FB5" w:rsidRPr="0064369B" w:rsidTr="00903FB5">
        <w:trPr>
          <w:tblCellSpacing w:w="15" w:type="dxa"/>
        </w:trPr>
        <w:tc>
          <w:tcPr>
            <w:tcW w:w="225" w:type="dxa"/>
            <w:shd w:val="clear" w:color="auto" w:fill="FFFFFF"/>
            <w:vAlign w:val="center"/>
            <w:hideMark/>
          </w:tcPr>
          <w:p w:rsidR="00903FB5" w:rsidRPr="0064369B" w:rsidRDefault="00903FB5">
            <w:pPr>
              <w:rPr>
                <w:rFonts w:ascii="Verdana" w:hAnsi="Verdana"/>
                <w:sz w:val="19"/>
                <w:szCs w:val="19"/>
              </w:rPr>
            </w:pPr>
            <w:r w:rsidRPr="0064369B">
              <w:rPr>
                <w:rFonts w:ascii="Verdana" w:hAnsi="Verdana"/>
                <w:sz w:val="19"/>
                <w:szCs w:val="19"/>
              </w:rPr>
              <w:t> </w:t>
            </w:r>
          </w:p>
        </w:tc>
        <w:tc>
          <w:tcPr>
            <w:tcW w:w="0" w:type="auto"/>
            <w:shd w:val="clear" w:color="auto" w:fill="FFFFFF"/>
            <w:vAlign w:val="center"/>
            <w:hideMark/>
          </w:tcPr>
          <w:p w:rsidR="00903FB5" w:rsidRPr="0064369B" w:rsidRDefault="00903FB5">
            <w:pPr>
              <w:rPr>
                <w:rFonts w:ascii="Verdana" w:hAnsi="Verdana"/>
                <w:sz w:val="19"/>
                <w:szCs w:val="19"/>
              </w:rPr>
            </w:pPr>
            <w:r w:rsidRPr="0064369B">
              <w:rPr>
                <w:rFonts w:ascii="Verdana" w:hAnsi="Verdana"/>
                <w:sz w:val="19"/>
                <w:szCs w:val="19"/>
              </w:rPr>
              <w:t>Public hearing on property tax assessment</w:t>
            </w:r>
          </w:p>
        </w:tc>
      </w:tr>
    </w:tbl>
    <w:p w:rsidR="00F876BB" w:rsidRDefault="00DA105A" w:rsidP="003769F8">
      <w:pPr>
        <w:spacing w:after="0" w:line="240" w:lineRule="auto"/>
        <w:rPr>
          <w:rFonts w:ascii="Verdana" w:eastAsia="Verdana" w:hAnsi="Verdana" w:cs="Verdana"/>
          <w:b/>
          <w:bCs/>
          <w:position w:val="-2"/>
          <w:u w:val="thick" w:color="000000"/>
        </w:rPr>
      </w:pPr>
      <w:r w:rsidRPr="004D3169">
        <w:rPr>
          <w:rFonts w:ascii="Verdana" w:eastAsia="Verdana" w:hAnsi="Verdana" w:cs="Verdana"/>
          <w:b/>
          <w:bCs/>
          <w:position w:val="-2"/>
          <w:u w:val="thick" w:color="000000"/>
        </w:rPr>
        <w:t>DEPARTMENT OF REVENUE UPDATE</w:t>
      </w:r>
    </w:p>
    <w:p w:rsidR="00E92351" w:rsidRDefault="00E92351" w:rsidP="003769F8">
      <w:pPr>
        <w:spacing w:after="0" w:line="240" w:lineRule="auto"/>
        <w:rPr>
          <w:rFonts w:ascii="Verdana" w:eastAsia="Verdana" w:hAnsi="Verdana" w:cs="Verdana"/>
          <w:b/>
          <w:bCs/>
          <w:position w:val="-2"/>
          <w:u w:val="thick" w:color="000000"/>
        </w:rPr>
      </w:pPr>
    </w:p>
    <w:p w:rsidR="00E92351" w:rsidRPr="00E92351" w:rsidRDefault="00E92351" w:rsidP="003769F8">
      <w:pPr>
        <w:spacing w:after="0" w:line="240" w:lineRule="auto"/>
        <w:rPr>
          <w:rFonts w:ascii="Verdana" w:eastAsia="Verdana" w:hAnsi="Verdana" w:cs="Verdana"/>
          <w:bCs/>
          <w:position w:val="-2"/>
          <w:sz w:val="20"/>
        </w:rPr>
      </w:pPr>
      <w:r w:rsidRPr="00E92351">
        <w:rPr>
          <w:rFonts w:ascii="Verdana" w:eastAsia="Verdana" w:hAnsi="Verdana" w:cs="Verdana"/>
          <w:bCs/>
          <w:position w:val="-2"/>
          <w:sz w:val="20"/>
        </w:rPr>
        <w:t>None</w:t>
      </w:r>
    </w:p>
    <w:p w:rsidR="00F876BB" w:rsidRDefault="00F876BB" w:rsidP="003769F8">
      <w:pPr>
        <w:spacing w:after="0" w:line="240" w:lineRule="auto"/>
        <w:rPr>
          <w:rFonts w:ascii="Verdana" w:eastAsia="Verdana" w:hAnsi="Verdana" w:cs="Verdana"/>
          <w:b/>
          <w:bCs/>
          <w:position w:val="-2"/>
          <w:u w:val="thick" w:color="000000"/>
        </w:rPr>
      </w:pPr>
    </w:p>
    <w:p w:rsidR="005D4E1F" w:rsidRDefault="00635217" w:rsidP="000C6D28">
      <w:pPr>
        <w:rPr>
          <w:rFonts w:ascii="Verdana" w:eastAsia="Verdana" w:hAnsi="Verdana" w:cs="Verdana"/>
          <w:b/>
          <w:bCs/>
          <w:spacing w:val="1"/>
          <w:position w:val="-1"/>
          <w:u w:val="thick" w:color="000000"/>
        </w:rPr>
      </w:pPr>
      <w:r w:rsidRPr="004D3169">
        <w:rPr>
          <w:rFonts w:ascii="Verdana" w:eastAsia="Verdana" w:hAnsi="Verdana" w:cs="Verdana"/>
          <w:b/>
          <w:bCs/>
          <w:spacing w:val="1"/>
          <w:position w:val="-1"/>
          <w:u w:val="thick" w:color="000000"/>
        </w:rPr>
        <w:t>IRRC UPDATES</w:t>
      </w:r>
    </w:p>
    <w:p w:rsidR="003C46B4" w:rsidRPr="00524F49" w:rsidRDefault="005F77BA" w:rsidP="00524F49">
      <w:pPr>
        <w:pStyle w:val="NormalWeb"/>
        <w:shd w:val="clear" w:color="auto" w:fill="FFFFFF"/>
        <w:rPr>
          <w:rFonts w:ascii="Verdana" w:hAnsi="Verdana" w:cs="Arial"/>
          <w:color w:val="000000"/>
          <w:sz w:val="20"/>
        </w:rPr>
      </w:pPr>
      <w:r>
        <w:rPr>
          <w:rFonts w:ascii="Verdana" w:hAnsi="Verdana" w:cs="Arial"/>
          <w:color w:val="000000"/>
          <w:sz w:val="20"/>
        </w:rPr>
        <w:t>None</w:t>
      </w:r>
    </w:p>
    <w:sectPr w:rsidR="003C46B4" w:rsidRPr="00524F49"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E9A" w:rsidRDefault="001C7E9A" w:rsidP="002B51AE">
      <w:pPr>
        <w:spacing w:after="0" w:line="240" w:lineRule="auto"/>
      </w:pPr>
      <w:r>
        <w:separator/>
      </w:r>
    </w:p>
  </w:endnote>
  <w:endnote w:type="continuationSeparator" w:id="0">
    <w:p w:rsidR="001C7E9A" w:rsidRDefault="001C7E9A"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E9A" w:rsidRDefault="001C7E9A" w:rsidP="002B51AE">
      <w:pPr>
        <w:spacing w:after="0" w:line="240" w:lineRule="auto"/>
      </w:pPr>
      <w:r>
        <w:separator/>
      </w:r>
    </w:p>
  </w:footnote>
  <w:footnote w:type="continuationSeparator" w:id="0">
    <w:p w:rsidR="001C7E9A" w:rsidRDefault="001C7E9A"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568"/>
    <w:multiLevelType w:val="multilevel"/>
    <w:tmpl w:val="BDFC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0B4EE6"/>
    <w:multiLevelType w:val="multilevel"/>
    <w:tmpl w:val="1E02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8680F"/>
    <w:multiLevelType w:val="multilevel"/>
    <w:tmpl w:val="9910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D100B"/>
    <w:multiLevelType w:val="hybridMultilevel"/>
    <w:tmpl w:val="3F0ACEE8"/>
    <w:lvl w:ilvl="0" w:tplc="18828A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033A5"/>
    <w:multiLevelType w:val="multilevel"/>
    <w:tmpl w:val="F6C4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6F7A2B"/>
    <w:multiLevelType w:val="multilevel"/>
    <w:tmpl w:val="0EB6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31E5A"/>
    <w:multiLevelType w:val="multilevel"/>
    <w:tmpl w:val="28DC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C73CC"/>
    <w:multiLevelType w:val="hybridMultilevel"/>
    <w:tmpl w:val="48C2B502"/>
    <w:lvl w:ilvl="0" w:tplc="BC1AD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7126E"/>
    <w:multiLevelType w:val="multilevel"/>
    <w:tmpl w:val="71C2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8A0094"/>
    <w:multiLevelType w:val="multilevel"/>
    <w:tmpl w:val="93F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41F3F"/>
    <w:multiLevelType w:val="multilevel"/>
    <w:tmpl w:val="FCF2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175820"/>
    <w:multiLevelType w:val="multilevel"/>
    <w:tmpl w:val="3554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DE0DF0"/>
    <w:multiLevelType w:val="multilevel"/>
    <w:tmpl w:val="CE84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3B3709"/>
    <w:multiLevelType w:val="multilevel"/>
    <w:tmpl w:val="2C760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F8C6449"/>
    <w:multiLevelType w:val="multilevel"/>
    <w:tmpl w:val="12DE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847F94"/>
    <w:multiLevelType w:val="multilevel"/>
    <w:tmpl w:val="61E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B571C4"/>
    <w:multiLevelType w:val="multilevel"/>
    <w:tmpl w:val="8D6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8B2E11"/>
    <w:multiLevelType w:val="multilevel"/>
    <w:tmpl w:val="E7A8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926742"/>
    <w:multiLevelType w:val="multilevel"/>
    <w:tmpl w:val="4740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F86DA5"/>
    <w:multiLevelType w:val="multilevel"/>
    <w:tmpl w:val="4832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3C5660"/>
    <w:multiLevelType w:val="multilevel"/>
    <w:tmpl w:val="DEB6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71A0461"/>
    <w:multiLevelType w:val="multilevel"/>
    <w:tmpl w:val="594C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4D2017"/>
    <w:multiLevelType w:val="multilevel"/>
    <w:tmpl w:val="788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5"/>
  </w:num>
  <w:num w:numId="6">
    <w:abstractNumId w:val="19"/>
  </w:num>
  <w:num w:numId="7">
    <w:abstractNumId w:val="11"/>
  </w:num>
  <w:num w:numId="8">
    <w:abstractNumId w:val="21"/>
  </w:num>
  <w:num w:numId="9">
    <w:abstractNumId w:val="10"/>
  </w:num>
  <w:num w:numId="10">
    <w:abstractNumId w:val="22"/>
  </w:num>
  <w:num w:numId="11">
    <w:abstractNumId w:val="6"/>
  </w:num>
  <w:num w:numId="12">
    <w:abstractNumId w:val="17"/>
  </w:num>
  <w:num w:numId="13">
    <w:abstractNumId w:val="14"/>
  </w:num>
  <w:num w:numId="14">
    <w:abstractNumId w:val="9"/>
  </w:num>
  <w:num w:numId="15">
    <w:abstractNumId w:val="1"/>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4"/>
  </w:num>
  <w:num w:numId="20">
    <w:abstractNumId w:val="0"/>
  </w:num>
  <w:num w:numId="21">
    <w:abstractNumId w:val="12"/>
  </w:num>
  <w:num w:numId="22">
    <w:abstractNumId w:val="16"/>
  </w:num>
  <w:num w:numId="23">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06E5D"/>
    <w:rsid w:val="000166C8"/>
    <w:rsid w:val="00022121"/>
    <w:rsid w:val="000235F5"/>
    <w:rsid w:val="00023E77"/>
    <w:rsid w:val="00030A2F"/>
    <w:rsid w:val="0003115D"/>
    <w:rsid w:val="0003361C"/>
    <w:rsid w:val="000351DC"/>
    <w:rsid w:val="00036F9C"/>
    <w:rsid w:val="000374D0"/>
    <w:rsid w:val="0004173E"/>
    <w:rsid w:val="000425E8"/>
    <w:rsid w:val="00044779"/>
    <w:rsid w:val="0004702B"/>
    <w:rsid w:val="000518A3"/>
    <w:rsid w:val="000526EF"/>
    <w:rsid w:val="00053323"/>
    <w:rsid w:val="00055920"/>
    <w:rsid w:val="00056956"/>
    <w:rsid w:val="000629DA"/>
    <w:rsid w:val="00066831"/>
    <w:rsid w:val="000673AC"/>
    <w:rsid w:val="000703C3"/>
    <w:rsid w:val="00076A8D"/>
    <w:rsid w:val="00093743"/>
    <w:rsid w:val="000974B1"/>
    <w:rsid w:val="000976A0"/>
    <w:rsid w:val="00097B14"/>
    <w:rsid w:val="000A3EA1"/>
    <w:rsid w:val="000B586C"/>
    <w:rsid w:val="000B70B9"/>
    <w:rsid w:val="000C299A"/>
    <w:rsid w:val="000C4DA4"/>
    <w:rsid w:val="000C6D28"/>
    <w:rsid w:val="000C74E0"/>
    <w:rsid w:val="000D15C3"/>
    <w:rsid w:val="000D2B73"/>
    <w:rsid w:val="000D64A0"/>
    <w:rsid w:val="000D6B5C"/>
    <w:rsid w:val="000E6245"/>
    <w:rsid w:val="000F4347"/>
    <w:rsid w:val="000F4EF5"/>
    <w:rsid w:val="00103202"/>
    <w:rsid w:val="001118ED"/>
    <w:rsid w:val="00111A60"/>
    <w:rsid w:val="001128BB"/>
    <w:rsid w:val="0011314F"/>
    <w:rsid w:val="00117341"/>
    <w:rsid w:val="00121446"/>
    <w:rsid w:val="00123B94"/>
    <w:rsid w:val="00127616"/>
    <w:rsid w:val="00131054"/>
    <w:rsid w:val="001323A8"/>
    <w:rsid w:val="00140034"/>
    <w:rsid w:val="00140CAD"/>
    <w:rsid w:val="00143ACA"/>
    <w:rsid w:val="00143C7B"/>
    <w:rsid w:val="00152168"/>
    <w:rsid w:val="00154145"/>
    <w:rsid w:val="0015552C"/>
    <w:rsid w:val="00155819"/>
    <w:rsid w:val="0016664E"/>
    <w:rsid w:val="00166BA1"/>
    <w:rsid w:val="00170090"/>
    <w:rsid w:val="00170164"/>
    <w:rsid w:val="00170237"/>
    <w:rsid w:val="00171B2A"/>
    <w:rsid w:val="001758AD"/>
    <w:rsid w:val="001805BC"/>
    <w:rsid w:val="001814ED"/>
    <w:rsid w:val="00186D31"/>
    <w:rsid w:val="00190DA7"/>
    <w:rsid w:val="001918A0"/>
    <w:rsid w:val="00194B7E"/>
    <w:rsid w:val="001950DF"/>
    <w:rsid w:val="001966BD"/>
    <w:rsid w:val="001A1986"/>
    <w:rsid w:val="001A20BE"/>
    <w:rsid w:val="001A7637"/>
    <w:rsid w:val="001B45A5"/>
    <w:rsid w:val="001C282A"/>
    <w:rsid w:val="001C6A15"/>
    <w:rsid w:val="001C7E9A"/>
    <w:rsid w:val="001D1011"/>
    <w:rsid w:val="001D15EB"/>
    <w:rsid w:val="001D1924"/>
    <w:rsid w:val="001D6D0F"/>
    <w:rsid w:val="001E0D31"/>
    <w:rsid w:val="001E1850"/>
    <w:rsid w:val="001E1C1A"/>
    <w:rsid w:val="001E47B0"/>
    <w:rsid w:val="001E562F"/>
    <w:rsid w:val="001F09DC"/>
    <w:rsid w:val="001F4597"/>
    <w:rsid w:val="001F570D"/>
    <w:rsid w:val="001F6C20"/>
    <w:rsid w:val="001F7154"/>
    <w:rsid w:val="001F7522"/>
    <w:rsid w:val="00200FC9"/>
    <w:rsid w:val="00203B66"/>
    <w:rsid w:val="00215A27"/>
    <w:rsid w:val="00216428"/>
    <w:rsid w:val="002168D2"/>
    <w:rsid w:val="00217084"/>
    <w:rsid w:val="00224F38"/>
    <w:rsid w:val="00247EB2"/>
    <w:rsid w:val="002504CE"/>
    <w:rsid w:val="0025121F"/>
    <w:rsid w:val="00253C50"/>
    <w:rsid w:val="00261169"/>
    <w:rsid w:val="00264EB9"/>
    <w:rsid w:val="002677BE"/>
    <w:rsid w:val="00271D4A"/>
    <w:rsid w:val="00272F09"/>
    <w:rsid w:val="0028278A"/>
    <w:rsid w:val="0028782E"/>
    <w:rsid w:val="00290548"/>
    <w:rsid w:val="00294A45"/>
    <w:rsid w:val="00297F3A"/>
    <w:rsid w:val="002A0C88"/>
    <w:rsid w:val="002A1032"/>
    <w:rsid w:val="002A5EB2"/>
    <w:rsid w:val="002A6F17"/>
    <w:rsid w:val="002B2161"/>
    <w:rsid w:val="002B2E82"/>
    <w:rsid w:val="002B51AE"/>
    <w:rsid w:val="002B66DB"/>
    <w:rsid w:val="002B6DD1"/>
    <w:rsid w:val="002B6E93"/>
    <w:rsid w:val="002C3802"/>
    <w:rsid w:val="002C4E76"/>
    <w:rsid w:val="002C5778"/>
    <w:rsid w:val="002C5C57"/>
    <w:rsid w:val="002C68A3"/>
    <w:rsid w:val="002C6DEE"/>
    <w:rsid w:val="002D302D"/>
    <w:rsid w:val="002D4482"/>
    <w:rsid w:val="002D7D0C"/>
    <w:rsid w:val="002E0F28"/>
    <w:rsid w:val="002E1089"/>
    <w:rsid w:val="002E52C0"/>
    <w:rsid w:val="002E5A91"/>
    <w:rsid w:val="002F4CEC"/>
    <w:rsid w:val="002F59A1"/>
    <w:rsid w:val="002F6C94"/>
    <w:rsid w:val="0030385B"/>
    <w:rsid w:val="003055C5"/>
    <w:rsid w:val="00306395"/>
    <w:rsid w:val="00307491"/>
    <w:rsid w:val="003079EF"/>
    <w:rsid w:val="00310900"/>
    <w:rsid w:val="00314A81"/>
    <w:rsid w:val="00314F87"/>
    <w:rsid w:val="003263B9"/>
    <w:rsid w:val="0032750F"/>
    <w:rsid w:val="00327CF4"/>
    <w:rsid w:val="003326A2"/>
    <w:rsid w:val="003341B9"/>
    <w:rsid w:val="00336CFA"/>
    <w:rsid w:val="0034464F"/>
    <w:rsid w:val="0034724D"/>
    <w:rsid w:val="003531CA"/>
    <w:rsid w:val="00354BC7"/>
    <w:rsid w:val="0035657F"/>
    <w:rsid w:val="00367FA9"/>
    <w:rsid w:val="00370A3B"/>
    <w:rsid w:val="00370CDE"/>
    <w:rsid w:val="003720BD"/>
    <w:rsid w:val="0037275D"/>
    <w:rsid w:val="003758A6"/>
    <w:rsid w:val="003769F8"/>
    <w:rsid w:val="003830C8"/>
    <w:rsid w:val="00384891"/>
    <w:rsid w:val="0038781F"/>
    <w:rsid w:val="00387B61"/>
    <w:rsid w:val="003945C7"/>
    <w:rsid w:val="003955C1"/>
    <w:rsid w:val="00396C70"/>
    <w:rsid w:val="003A0C7B"/>
    <w:rsid w:val="003A1F7B"/>
    <w:rsid w:val="003A33F4"/>
    <w:rsid w:val="003A4AE4"/>
    <w:rsid w:val="003B01A2"/>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34D4"/>
    <w:rsid w:val="003E3CCD"/>
    <w:rsid w:val="003F3712"/>
    <w:rsid w:val="003F4495"/>
    <w:rsid w:val="003F6092"/>
    <w:rsid w:val="003F665A"/>
    <w:rsid w:val="003F6EBE"/>
    <w:rsid w:val="003F6F5C"/>
    <w:rsid w:val="00400A66"/>
    <w:rsid w:val="004069EE"/>
    <w:rsid w:val="004076EC"/>
    <w:rsid w:val="00415C37"/>
    <w:rsid w:val="00423337"/>
    <w:rsid w:val="00424E28"/>
    <w:rsid w:val="00431319"/>
    <w:rsid w:val="00436BAD"/>
    <w:rsid w:val="00441106"/>
    <w:rsid w:val="0044255A"/>
    <w:rsid w:val="0045141B"/>
    <w:rsid w:val="0045356A"/>
    <w:rsid w:val="00453855"/>
    <w:rsid w:val="00454F7B"/>
    <w:rsid w:val="00460389"/>
    <w:rsid w:val="00460DBE"/>
    <w:rsid w:val="004623D0"/>
    <w:rsid w:val="00464AD3"/>
    <w:rsid w:val="00470F5A"/>
    <w:rsid w:val="00472CC6"/>
    <w:rsid w:val="004769FA"/>
    <w:rsid w:val="004779CF"/>
    <w:rsid w:val="00490CD7"/>
    <w:rsid w:val="004A1FC9"/>
    <w:rsid w:val="004A21E4"/>
    <w:rsid w:val="004A46C2"/>
    <w:rsid w:val="004A5BE7"/>
    <w:rsid w:val="004A61A3"/>
    <w:rsid w:val="004A63B8"/>
    <w:rsid w:val="004A6F3A"/>
    <w:rsid w:val="004A73A0"/>
    <w:rsid w:val="004B08D2"/>
    <w:rsid w:val="004B3AD9"/>
    <w:rsid w:val="004B4185"/>
    <w:rsid w:val="004B6926"/>
    <w:rsid w:val="004B7266"/>
    <w:rsid w:val="004C1714"/>
    <w:rsid w:val="004C1FE1"/>
    <w:rsid w:val="004C2E6B"/>
    <w:rsid w:val="004C3108"/>
    <w:rsid w:val="004D0567"/>
    <w:rsid w:val="004D3169"/>
    <w:rsid w:val="004D4AB4"/>
    <w:rsid w:val="004D7543"/>
    <w:rsid w:val="004D7915"/>
    <w:rsid w:val="004E4333"/>
    <w:rsid w:val="004E748D"/>
    <w:rsid w:val="004E7B26"/>
    <w:rsid w:val="004F00A1"/>
    <w:rsid w:val="004F07AE"/>
    <w:rsid w:val="004F2B0F"/>
    <w:rsid w:val="004F4B87"/>
    <w:rsid w:val="004F58B4"/>
    <w:rsid w:val="00504AFB"/>
    <w:rsid w:val="00507EF9"/>
    <w:rsid w:val="005140EA"/>
    <w:rsid w:val="00515330"/>
    <w:rsid w:val="00517422"/>
    <w:rsid w:val="005217C3"/>
    <w:rsid w:val="00521EA5"/>
    <w:rsid w:val="005234CC"/>
    <w:rsid w:val="0052356F"/>
    <w:rsid w:val="00523E75"/>
    <w:rsid w:val="00524F49"/>
    <w:rsid w:val="005274EB"/>
    <w:rsid w:val="00531B07"/>
    <w:rsid w:val="00535E84"/>
    <w:rsid w:val="00540BB7"/>
    <w:rsid w:val="00540CE3"/>
    <w:rsid w:val="00542167"/>
    <w:rsid w:val="00542F04"/>
    <w:rsid w:val="00544A1D"/>
    <w:rsid w:val="005505E9"/>
    <w:rsid w:val="0055372C"/>
    <w:rsid w:val="00553BC2"/>
    <w:rsid w:val="00556738"/>
    <w:rsid w:val="00565170"/>
    <w:rsid w:val="00570026"/>
    <w:rsid w:val="0057796E"/>
    <w:rsid w:val="00583F40"/>
    <w:rsid w:val="005908B6"/>
    <w:rsid w:val="0059510E"/>
    <w:rsid w:val="005A0096"/>
    <w:rsid w:val="005A00C6"/>
    <w:rsid w:val="005A1AC3"/>
    <w:rsid w:val="005A3ACD"/>
    <w:rsid w:val="005B0EFA"/>
    <w:rsid w:val="005B3958"/>
    <w:rsid w:val="005B69FD"/>
    <w:rsid w:val="005C13BD"/>
    <w:rsid w:val="005C5A1F"/>
    <w:rsid w:val="005D00C2"/>
    <w:rsid w:val="005D4E1F"/>
    <w:rsid w:val="005D6798"/>
    <w:rsid w:val="005E30FA"/>
    <w:rsid w:val="005E4CC6"/>
    <w:rsid w:val="005E523D"/>
    <w:rsid w:val="005F4EB3"/>
    <w:rsid w:val="005F77BA"/>
    <w:rsid w:val="005F7B72"/>
    <w:rsid w:val="006054DC"/>
    <w:rsid w:val="006060B4"/>
    <w:rsid w:val="00607C02"/>
    <w:rsid w:val="00607C13"/>
    <w:rsid w:val="00607E3D"/>
    <w:rsid w:val="006106DD"/>
    <w:rsid w:val="00611C1D"/>
    <w:rsid w:val="00613A7F"/>
    <w:rsid w:val="00613A99"/>
    <w:rsid w:val="00617F17"/>
    <w:rsid w:val="00620FCF"/>
    <w:rsid w:val="00621AE5"/>
    <w:rsid w:val="006315D4"/>
    <w:rsid w:val="006333A6"/>
    <w:rsid w:val="0063354C"/>
    <w:rsid w:val="006337EE"/>
    <w:rsid w:val="00635217"/>
    <w:rsid w:val="006354D0"/>
    <w:rsid w:val="00635A5D"/>
    <w:rsid w:val="00640CA2"/>
    <w:rsid w:val="0064118C"/>
    <w:rsid w:val="0064182C"/>
    <w:rsid w:val="00641CA5"/>
    <w:rsid w:val="006431E7"/>
    <w:rsid w:val="0064369B"/>
    <w:rsid w:val="006441F3"/>
    <w:rsid w:val="00645D1A"/>
    <w:rsid w:val="00647935"/>
    <w:rsid w:val="00652BB9"/>
    <w:rsid w:val="00653B95"/>
    <w:rsid w:val="00653F60"/>
    <w:rsid w:val="00662A95"/>
    <w:rsid w:val="006634B5"/>
    <w:rsid w:val="00663C01"/>
    <w:rsid w:val="0067036D"/>
    <w:rsid w:val="0067335A"/>
    <w:rsid w:val="0067573F"/>
    <w:rsid w:val="006773A8"/>
    <w:rsid w:val="0068520B"/>
    <w:rsid w:val="00685B03"/>
    <w:rsid w:val="00686F92"/>
    <w:rsid w:val="00691EB4"/>
    <w:rsid w:val="006956BC"/>
    <w:rsid w:val="006A0A8A"/>
    <w:rsid w:val="006A6344"/>
    <w:rsid w:val="006B090B"/>
    <w:rsid w:val="006B0E55"/>
    <w:rsid w:val="006B1DCA"/>
    <w:rsid w:val="006B3CC4"/>
    <w:rsid w:val="006B6E47"/>
    <w:rsid w:val="006B7333"/>
    <w:rsid w:val="006C0781"/>
    <w:rsid w:val="006C179B"/>
    <w:rsid w:val="006D0E19"/>
    <w:rsid w:val="006D351F"/>
    <w:rsid w:val="006D77C0"/>
    <w:rsid w:val="006E09BB"/>
    <w:rsid w:val="006E1F81"/>
    <w:rsid w:val="006E29C7"/>
    <w:rsid w:val="006E54EF"/>
    <w:rsid w:val="006E55EC"/>
    <w:rsid w:val="006E6422"/>
    <w:rsid w:val="006F1322"/>
    <w:rsid w:val="006F39F9"/>
    <w:rsid w:val="006F65F1"/>
    <w:rsid w:val="00707FAE"/>
    <w:rsid w:val="00711AE7"/>
    <w:rsid w:val="00711B52"/>
    <w:rsid w:val="00713DE8"/>
    <w:rsid w:val="00714E97"/>
    <w:rsid w:val="00716337"/>
    <w:rsid w:val="00724EF4"/>
    <w:rsid w:val="007279A6"/>
    <w:rsid w:val="00733ED1"/>
    <w:rsid w:val="00737571"/>
    <w:rsid w:val="007437CB"/>
    <w:rsid w:val="00743877"/>
    <w:rsid w:val="007460F3"/>
    <w:rsid w:val="007507A2"/>
    <w:rsid w:val="00750D57"/>
    <w:rsid w:val="0075375B"/>
    <w:rsid w:val="00763E57"/>
    <w:rsid w:val="00765AC2"/>
    <w:rsid w:val="00767437"/>
    <w:rsid w:val="00771FE5"/>
    <w:rsid w:val="00773045"/>
    <w:rsid w:val="00776851"/>
    <w:rsid w:val="0077744A"/>
    <w:rsid w:val="00781D8F"/>
    <w:rsid w:val="007821A1"/>
    <w:rsid w:val="0078282B"/>
    <w:rsid w:val="0078295A"/>
    <w:rsid w:val="00784AC2"/>
    <w:rsid w:val="007935CA"/>
    <w:rsid w:val="007A3A69"/>
    <w:rsid w:val="007A3E8A"/>
    <w:rsid w:val="007A5449"/>
    <w:rsid w:val="007A7752"/>
    <w:rsid w:val="007B1A09"/>
    <w:rsid w:val="007B1F56"/>
    <w:rsid w:val="007B5A5C"/>
    <w:rsid w:val="007B7E4C"/>
    <w:rsid w:val="007C0E6C"/>
    <w:rsid w:val="007C28BE"/>
    <w:rsid w:val="007C504C"/>
    <w:rsid w:val="007C556C"/>
    <w:rsid w:val="007C6204"/>
    <w:rsid w:val="007C6CE6"/>
    <w:rsid w:val="007C6F3E"/>
    <w:rsid w:val="007D4B0C"/>
    <w:rsid w:val="007E0D6A"/>
    <w:rsid w:val="007F1C32"/>
    <w:rsid w:val="007F461B"/>
    <w:rsid w:val="00800329"/>
    <w:rsid w:val="0080141D"/>
    <w:rsid w:val="008041E8"/>
    <w:rsid w:val="00805121"/>
    <w:rsid w:val="008102D4"/>
    <w:rsid w:val="00812111"/>
    <w:rsid w:val="00813EF0"/>
    <w:rsid w:val="008162EB"/>
    <w:rsid w:val="00832FED"/>
    <w:rsid w:val="00841623"/>
    <w:rsid w:val="00841E0F"/>
    <w:rsid w:val="00841FA4"/>
    <w:rsid w:val="00847559"/>
    <w:rsid w:val="00847E3F"/>
    <w:rsid w:val="00850572"/>
    <w:rsid w:val="008507B1"/>
    <w:rsid w:val="00855A32"/>
    <w:rsid w:val="0086034E"/>
    <w:rsid w:val="00861273"/>
    <w:rsid w:val="008648CE"/>
    <w:rsid w:val="00865117"/>
    <w:rsid w:val="008703AE"/>
    <w:rsid w:val="0087225B"/>
    <w:rsid w:val="00873373"/>
    <w:rsid w:val="00874C40"/>
    <w:rsid w:val="00876134"/>
    <w:rsid w:val="00881A27"/>
    <w:rsid w:val="00881EEA"/>
    <w:rsid w:val="008823BF"/>
    <w:rsid w:val="008A121B"/>
    <w:rsid w:val="008A1E89"/>
    <w:rsid w:val="008A4209"/>
    <w:rsid w:val="008B04E4"/>
    <w:rsid w:val="008B3A44"/>
    <w:rsid w:val="008B4BEE"/>
    <w:rsid w:val="008C5316"/>
    <w:rsid w:val="008C533E"/>
    <w:rsid w:val="008C5E02"/>
    <w:rsid w:val="008C6D93"/>
    <w:rsid w:val="008D14F6"/>
    <w:rsid w:val="008D37BC"/>
    <w:rsid w:val="008D4EE7"/>
    <w:rsid w:val="008E25F0"/>
    <w:rsid w:val="008E58C1"/>
    <w:rsid w:val="008E6CF4"/>
    <w:rsid w:val="008E73A9"/>
    <w:rsid w:val="008F1FE5"/>
    <w:rsid w:val="008F298F"/>
    <w:rsid w:val="008F5CDE"/>
    <w:rsid w:val="008F642B"/>
    <w:rsid w:val="008F7D42"/>
    <w:rsid w:val="00903938"/>
    <w:rsid w:val="00903E3A"/>
    <w:rsid w:val="00903FB5"/>
    <w:rsid w:val="009100A9"/>
    <w:rsid w:val="0091435A"/>
    <w:rsid w:val="009202BD"/>
    <w:rsid w:val="00921A98"/>
    <w:rsid w:val="00922116"/>
    <w:rsid w:val="009247B3"/>
    <w:rsid w:val="009267B0"/>
    <w:rsid w:val="00943811"/>
    <w:rsid w:val="00944DEC"/>
    <w:rsid w:val="00945AB9"/>
    <w:rsid w:val="00946814"/>
    <w:rsid w:val="009546A8"/>
    <w:rsid w:val="00963747"/>
    <w:rsid w:val="0096653C"/>
    <w:rsid w:val="00967707"/>
    <w:rsid w:val="00967BFC"/>
    <w:rsid w:val="00970B9B"/>
    <w:rsid w:val="009711D1"/>
    <w:rsid w:val="0097620F"/>
    <w:rsid w:val="00983330"/>
    <w:rsid w:val="00983FF2"/>
    <w:rsid w:val="00985968"/>
    <w:rsid w:val="009922E3"/>
    <w:rsid w:val="009A1E77"/>
    <w:rsid w:val="009A4595"/>
    <w:rsid w:val="009B1E83"/>
    <w:rsid w:val="009B499E"/>
    <w:rsid w:val="009B4EB4"/>
    <w:rsid w:val="009B7612"/>
    <w:rsid w:val="009B789B"/>
    <w:rsid w:val="009C0B75"/>
    <w:rsid w:val="009C2FB0"/>
    <w:rsid w:val="009C3508"/>
    <w:rsid w:val="009C5128"/>
    <w:rsid w:val="009C65A8"/>
    <w:rsid w:val="009D5A93"/>
    <w:rsid w:val="009E0BA9"/>
    <w:rsid w:val="009E1E61"/>
    <w:rsid w:val="009E5B12"/>
    <w:rsid w:val="009E735F"/>
    <w:rsid w:val="009F1618"/>
    <w:rsid w:val="009F45FE"/>
    <w:rsid w:val="00A00BAA"/>
    <w:rsid w:val="00A039D3"/>
    <w:rsid w:val="00A06890"/>
    <w:rsid w:val="00A1292A"/>
    <w:rsid w:val="00A12F53"/>
    <w:rsid w:val="00A24E4A"/>
    <w:rsid w:val="00A24FFA"/>
    <w:rsid w:val="00A256A1"/>
    <w:rsid w:val="00A27E6A"/>
    <w:rsid w:val="00A30093"/>
    <w:rsid w:val="00A30C82"/>
    <w:rsid w:val="00A35A7D"/>
    <w:rsid w:val="00A372AF"/>
    <w:rsid w:val="00A406DA"/>
    <w:rsid w:val="00A42FDA"/>
    <w:rsid w:val="00A43531"/>
    <w:rsid w:val="00A53BBB"/>
    <w:rsid w:val="00A6076E"/>
    <w:rsid w:val="00A61A02"/>
    <w:rsid w:val="00A61A2D"/>
    <w:rsid w:val="00A63E11"/>
    <w:rsid w:val="00A662D9"/>
    <w:rsid w:val="00A72D99"/>
    <w:rsid w:val="00A73CFD"/>
    <w:rsid w:val="00A8258F"/>
    <w:rsid w:val="00A9736F"/>
    <w:rsid w:val="00AA1ECB"/>
    <w:rsid w:val="00AA2C7C"/>
    <w:rsid w:val="00AA5A67"/>
    <w:rsid w:val="00AA67A3"/>
    <w:rsid w:val="00AB0A61"/>
    <w:rsid w:val="00AB11F1"/>
    <w:rsid w:val="00AB3BA6"/>
    <w:rsid w:val="00AB798F"/>
    <w:rsid w:val="00AC17C7"/>
    <w:rsid w:val="00AC3114"/>
    <w:rsid w:val="00AC459C"/>
    <w:rsid w:val="00AD1A37"/>
    <w:rsid w:val="00AD6016"/>
    <w:rsid w:val="00AD7D30"/>
    <w:rsid w:val="00AE03D5"/>
    <w:rsid w:val="00AE1D7F"/>
    <w:rsid w:val="00AE1EFE"/>
    <w:rsid w:val="00AE4E07"/>
    <w:rsid w:val="00AF0759"/>
    <w:rsid w:val="00B05AB8"/>
    <w:rsid w:val="00B069A2"/>
    <w:rsid w:val="00B07C1A"/>
    <w:rsid w:val="00B11B4D"/>
    <w:rsid w:val="00B125E8"/>
    <w:rsid w:val="00B17156"/>
    <w:rsid w:val="00B17C0E"/>
    <w:rsid w:val="00B21438"/>
    <w:rsid w:val="00B32A2F"/>
    <w:rsid w:val="00B367CE"/>
    <w:rsid w:val="00B409D4"/>
    <w:rsid w:val="00B4153F"/>
    <w:rsid w:val="00B416CE"/>
    <w:rsid w:val="00B43DA5"/>
    <w:rsid w:val="00B44118"/>
    <w:rsid w:val="00B4665E"/>
    <w:rsid w:val="00B46F68"/>
    <w:rsid w:val="00B5082F"/>
    <w:rsid w:val="00B523FB"/>
    <w:rsid w:val="00B569A7"/>
    <w:rsid w:val="00B605C7"/>
    <w:rsid w:val="00B619CB"/>
    <w:rsid w:val="00B61E2C"/>
    <w:rsid w:val="00B66085"/>
    <w:rsid w:val="00B75B96"/>
    <w:rsid w:val="00B7758B"/>
    <w:rsid w:val="00B80982"/>
    <w:rsid w:val="00B80F2C"/>
    <w:rsid w:val="00B83A14"/>
    <w:rsid w:val="00B83B8B"/>
    <w:rsid w:val="00B84273"/>
    <w:rsid w:val="00B84CB5"/>
    <w:rsid w:val="00B86F19"/>
    <w:rsid w:val="00B916B0"/>
    <w:rsid w:val="00B93874"/>
    <w:rsid w:val="00B94767"/>
    <w:rsid w:val="00B94988"/>
    <w:rsid w:val="00B96711"/>
    <w:rsid w:val="00BA01E5"/>
    <w:rsid w:val="00BA2E7D"/>
    <w:rsid w:val="00BA6EDF"/>
    <w:rsid w:val="00BA7D7F"/>
    <w:rsid w:val="00BB062C"/>
    <w:rsid w:val="00BB159C"/>
    <w:rsid w:val="00BB49ED"/>
    <w:rsid w:val="00BB67AD"/>
    <w:rsid w:val="00BB7266"/>
    <w:rsid w:val="00BC55D6"/>
    <w:rsid w:val="00BC774B"/>
    <w:rsid w:val="00BD39BD"/>
    <w:rsid w:val="00BE0E0C"/>
    <w:rsid w:val="00BE13C9"/>
    <w:rsid w:val="00BE27E7"/>
    <w:rsid w:val="00BE3A84"/>
    <w:rsid w:val="00BE61E4"/>
    <w:rsid w:val="00BE6BEC"/>
    <w:rsid w:val="00BE7EEB"/>
    <w:rsid w:val="00C00334"/>
    <w:rsid w:val="00C02BB6"/>
    <w:rsid w:val="00C07DBD"/>
    <w:rsid w:val="00C118F3"/>
    <w:rsid w:val="00C11948"/>
    <w:rsid w:val="00C144B1"/>
    <w:rsid w:val="00C17457"/>
    <w:rsid w:val="00C20909"/>
    <w:rsid w:val="00C225E7"/>
    <w:rsid w:val="00C26EB6"/>
    <w:rsid w:val="00C30863"/>
    <w:rsid w:val="00C368BE"/>
    <w:rsid w:val="00C412B5"/>
    <w:rsid w:val="00C418AB"/>
    <w:rsid w:val="00C45D89"/>
    <w:rsid w:val="00C52D63"/>
    <w:rsid w:val="00C61781"/>
    <w:rsid w:val="00C62E1A"/>
    <w:rsid w:val="00C64598"/>
    <w:rsid w:val="00C80813"/>
    <w:rsid w:val="00C81A3E"/>
    <w:rsid w:val="00C81ACD"/>
    <w:rsid w:val="00C82D24"/>
    <w:rsid w:val="00C82D4E"/>
    <w:rsid w:val="00C8563C"/>
    <w:rsid w:val="00C87602"/>
    <w:rsid w:val="00C92482"/>
    <w:rsid w:val="00C97E2F"/>
    <w:rsid w:val="00CA2D53"/>
    <w:rsid w:val="00CA5EE7"/>
    <w:rsid w:val="00CB1B7E"/>
    <w:rsid w:val="00CB7FA3"/>
    <w:rsid w:val="00CC0746"/>
    <w:rsid w:val="00CC39DF"/>
    <w:rsid w:val="00CC6B4B"/>
    <w:rsid w:val="00CC6EE1"/>
    <w:rsid w:val="00CD1301"/>
    <w:rsid w:val="00CD45E5"/>
    <w:rsid w:val="00CD4B38"/>
    <w:rsid w:val="00CD4C77"/>
    <w:rsid w:val="00CE09C0"/>
    <w:rsid w:val="00CF1269"/>
    <w:rsid w:val="00CF29D3"/>
    <w:rsid w:val="00CF3821"/>
    <w:rsid w:val="00CF4E8A"/>
    <w:rsid w:val="00CF69EC"/>
    <w:rsid w:val="00CF6C03"/>
    <w:rsid w:val="00CF723A"/>
    <w:rsid w:val="00CF7BDD"/>
    <w:rsid w:val="00D000F7"/>
    <w:rsid w:val="00D00322"/>
    <w:rsid w:val="00D00693"/>
    <w:rsid w:val="00D02190"/>
    <w:rsid w:val="00D065F5"/>
    <w:rsid w:val="00D068F2"/>
    <w:rsid w:val="00D11E68"/>
    <w:rsid w:val="00D12119"/>
    <w:rsid w:val="00D12741"/>
    <w:rsid w:val="00D34264"/>
    <w:rsid w:val="00D354DA"/>
    <w:rsid w:val="00D354F6"/>
    <w:rsid w:val="00D359F0"/>
    <w:rsid w:val="00D40818"/>
    <w:rsid w:val="00D413FB"/>
    <w:rsid w:val="00D51950"/>
    <w:rsid w:val="00D53B9F"/>
    <w:rsid w:val="00D54E03"/>
    <w:rsid w:val="00D61E8F"/>
    <w:rsid w:val="00D62A13"/>
    <w:rsid w:val="00D654C2"/>
    <w:rsid w:val="00D66ECE"/>
    <w:rsid w:val="00D7268D"/>
    <w:rsid w:val="00D8383A"/>
    <w:rsid w:val="00D876F7"/>
    <w:rsid w:val="00D96204"/>
    <w:rsid w:val="00D96D9D"/>
    <w:rsid w:val="00D96EDA"/>
    <w:rsid w:val="00D96FF1"/>
    <w:rsid w:val="00D9752D"/>
    <w:rsid w:val="00DA105A"/>
    <w:rsid w:val="00DB0C81"/>
    <w:rsid w:val="00DB31C5"/>
    <w:rsid w:val="00DB49A1"/>
    <w:rsid w:val="00DB4F85"/>
    <w:rsid w:val="00DC1F98"/>
    <w:rsid w:val="00DC6F8E"/>
    <w:rsid w:val="00DC7092"/>
    <w:rsid w:val="00DD16BF"/>
    <w:rsid w:val="00DD4ACD"/>
    <w:rsid w:val="00DE52C0"/>
    <w:rsid w:val="00DE7606"/>
    <w:rsid w:val="00DF13FE"/>
    <w:rsid w:val="00DF4D53"/>
    <w:rsid w:val="00DF53E5"/>
    <w:rsid w:val="00DF5D3C"/>
    <w:rsid w:val="00E007A7"/>
    <w:rsid w:val="00E01862"/>
    <w:rsid w:val="00E01F37"/>
    <w:rsid w:val="00E02EC9"/>
    <w:rsid w:val="00E04A40"/>
    <w:rsid w:val="00E149F3"/>
    <w:rsid w:val="00E164B6"/>
    <w:rsid w:val="00E215FD"/>
    <w:rsid w:val="00E22548"/>
    <w:rsid w:val="00E22FFA"/>
    <w:rsid w:val="00E23988"/>
    <w:rsid w:val="00E24F1D"/>
    <w:rsid w:val="00E251A4"/>
    <w:rsid w:val="00E34193"/>
    <w:rsid w:val="00E4221B"/>
    <w:rsid w:val="00E43689"/>
    <w:rsid w:val="00E45A4F"/>
    <w:rsid w:val="00E46662"/>
    <w:rsid w:val="00E46C51"/>
    <w:rsid w:val="00E55596"/>
    <w:rsid w:val="00E567D2"/>
    <w:rsid w:val="00E56ADC"/>
    <w:rsid w:val="00E57409"/>
    <w:rsid w:val="00E62C38"/>
    <w:rsid w:val="00E663C6"/>
    <w:rsid w:val="00E74A40"/>
    <w:rsid w:val="00E8247F"/>
    <w:rsid w:val="00E87FFC"/>
    <w:rsid w:val="00E9028F"/>
    <w:rsid w:val="00E92351"/>
    <w:rsid w:val="00E942E2"/>
    <w:rsid w:val="00E95F2F"/>
    <w:rsid w:val="00E961DF"/>
    <w:rsid w:val="00E9762A"/>
    <w:rsid w:val="00EA27E9"/>
    <w:rsid w:val="00EA56B8"/>
    <w:rsid w:val="00EB4F9B"/>
    <w:rsid w:val="00EB7031"/>
    <w:rsid w:val="00EC0407"/>
    <w:rsid w:val="00EC1064"/>
    <w:rsid w:val="00EC16C0"/>
    <w:rsid w:val="00EC5A8C"/>
    <w:rsid w:val="00EC5D86"/>
    <w:rsid w:val="00EC5DC7"/>
    <w:rsid w:val="00EC7384"/>
    <w:rsid w:val="00ED0472"/>
    <w:rsid w:val="00ED2E57"/>
    <w:rsid w:val="00ED4304"/>
    <w:rsid w:val="00ED5690"/>
    <w:rsid w:val="00ED5AD3"/>
    <w:rsid w:val="00EF57D2"/>
    <w:rsid w:val="00F00FBA"/>
    <w:rsid w:val="00F014FE"/>
    <w:rsid w:val="00F05D9D"/>
    <w:rsid w:val="00F06640"/>
    <w:rsid w:val="00F070FC"/>
    <w:rsid w:val="00F07A29"/>
    <w:rsid w:val="00F13CA6"/>
    <w:rsid w:val="00F14B31"/>
    <w:rsid w:val="00F158C4"/>
    <w:rsid w:val="00F2227D"/>
    <w:rsid w:val="00F225C8"/>
    <w:rsid w:val="00F2516F"/>
    <w:rsid w:val="00F266F1"/>
    <w:rsid w:val="00F272A6"/>
    <w:rsid w:val="00F3091F"/>
    <w:rsid w:val="00F3164A"/>
    <w:rsid w:val="00F31F96"/>
    <w:rsid w:val="00F34905"/>
    <w:rsid w:val="00F35E18"/>
    <w:rsid w:val="00F407FB"/>
    <w:rsid w:val="00F42D53"/>
    <w:rsid w:val="00F43431"/>
    <w:rsid w:val="00F503D8"/>
    <w:rsid w:val="00F5189F"/>
    <w:rsid w:val="00F57210"/>
    <w:rsid w:val="00F65E48"/>
    <w:rsid w:val="00F664A8"/>
    <w:rsid w:val="00F706E2"/>
    <w:rsid w:val="00F724E2"/>
    <w:rsid w:val="00F731D1"/>
    <w:rsid w:val="00F83D1C"/>
    <w:rsid w:val="00F876BB"/>
    <w:rsid w:val="00F8772B"/>
    <w:rsid w:val="00F90FB6"/>
    <w:rsid w:val="00F916EE"/>
    <w:rsid w:val="00F92081"/>
    <w:rsid w:val="00F951A4"/>
    <w:rsid w:val="00F97DE1"/>
    <w:rsid w:val="00FA06A2"/>
    <w:rsid w:val="00FA1DEF"/>
    <w:rsid w:val="00FA29A5"/>
    <w:rsid w:val="00FA41B3"/>
    <w:rsid w:val="00FB0339"/>
    <w:rsid w:val="00FB3199"/>
    <w:rsid w:val="00FC0351"/>
    <w:rsid w:val="00FC1220"/>
    <w:rsid w:val="00FC3883"/>
    <w:rsid w:val="00FD0055"/>
    <w:rsid w:val="00FD19B6"/>
    <w:rsid w:val="00FD37F2"/>
    <w:rsid w:val="00FD3DA7"/>
    <w:rsid w:val="00FE2DEB"/>
    <w:rsid w:val="00FE39E3"/>
    <w:rsid w:val="00FE4D58"/>
    <w:rsid w:val="00FE595D"/>
    <w:rsid w:val="00FE705E"/>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s>
</file>

<file path=word/webSettings.xml><?xml version="1.0" encoding="utf-8"?>
<w:webSettings xmlns:r="http://schemas.openxmlformats.org/officeDocument/2006/relationships" xmlns:w="http://schemas.openxmlformats.org/wordprocessingml/2006/main">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bpls.com/htbin/web_com.com?Comnam=018&amp;Session=17R" TargetMode="External"/><Relationship Id="rId5" Type="http://schemas.openxmlformats.org/officeDocument/2006/relationships/webSettings" Target="webSettings.xml"/><Relationship Id="rId10" Type="http://schemas.openxmlformats.org/officeDocument/2006/relationships/hyperlink" Target="http://www.ctbpls.com/htbin/web_com.com?Comnam=106&amp;Session=17R" TargetMode="External"/><Relationship Id="rId4" Type="http://schemas.openxmlformats.org/officeDocument/2006/relationships/settings" Target="settings.xml"/><Relationship Id="rId9" Type="http://schemas.openxmlformats.org/officeDocument/2006/relationships/hyperlink" Target="http://email.prnewswire.com/wf/click?upn=4hbKUWNtZvEUUpW81bJsgikyN0JB07Jo6ndtM4DmZmIWLd9TgPFfI0FEUePSjleMtdX8Ucm-2FO8abZIFDeLC0AvqNgSBEYbcduebRLgv6A78IaT-2FuIBFtsrZxlZ50yW86-2FCfCVWyD6GtbS7zDBeJ1esDreJ1b7RMAvtytU0BsxOxHy2qHmo05h-2FEEyplEvO9pS-2BY5cPcH7NFlICLsuSRRpJpcn44uj7cRGF-2BM99XSwyVnyKXrzT40DUcW1K6VC3fob0GCio5DIj-2F1iaBOX76xuA-3D-3D_kQ5-2BQ62yfqP-2BV9sshaTUjqLEUY3i9xQ9FfGfbq8mYfuUd2tbaQrr5cy-2Bd-2BKjDUzMrduF2y1ViHVNkkcpKGNNGZD586eP0HvqDDYiXq6OZ6-2BYvkrQ-2FW8cpnEfp-2FueAHMqeNRG4FSemiCHmC6RjRK0zqetf04DnaiWZ8Gup3BmK3yVq8iKFwRLgEzcZqVIctv8HNBx98qoE-2BXeDc7zIciO0kkyEEod51n0wWvXm648Ae3eWuiKTk9G2p-2F3uGJSBVbxGWJ9gWUQ6Uo2m3u4IaO5VP2j-2BmCe2ybjivYaSo8yVpvVPJd5wKKCduuQ-2BFdRp2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310EE-1503-4865-AF41-E8925775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12</cp:revision>
  <cp:lastPrinted>2017-07-06T19:30:00Z</cp:lastPrinted>
  <dcterms:created xsi:type="dcterms:W3CDTF">2017-09-12T15:27:00Z</dcterms:created>
  <dcterms:modified xsi:type="dcterms:W3CDTF">2017-09-14T18:48:00Z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