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5C5D" w14:textId="2F7D2681" w:rsidR="0033307A" w:rsidRPr="00845C4F" w:rsidRDefault="00845C4F" w:rsidP="00F276DC">
      <w:pPr>
        <w:jc w:val="center"/>
        <w:rPr>
          <w:rFonts w:ascii="Arial" w:hAnsi="Arial" w:cs="Arial"/>
          <w:b/>
          <w:sz w:val="32"/>
        </w:rPr>
      </w:pPr>
      <w:r w:rsidRPr="00845C4F">
        <w:rPr>
          <w:rFonts w:ascii="Arial" w:hAnsi="Arial" w:cs="Arial"/>
          <w:b/>
          <w:sz w:val="32"/>
        </w:rPr>
        <w:t xml:space="preserve">Tax Amnesty </w:t>
      </w:r>
      <w:r w:rsidR="00AE5EF8">
        <w:rPr>
          <w:rFonts w:ascii="Arial" w:hAnsi="Arial" w:cs="Arial"/>
          <w:b/>
          <w:sz w:val="32"/>
        </w:rPr>
        <w:t xml:space="preserve">Practitioner </w:t>
      </w:r>
      <w:r w:rsidRPr="00845C4F">
        <w:rPr>
          <w:rFonts w:ascii="Arial" w:hAnsi="Arial" w:cs="Arial"/>
          <w:b/>
          <w:sz w:val="32"/>
        </w:rPr>
        <w:t>Q&amp;A</w:t>
      </w:r>
    </w:p>
    <w:p w14:paraId="261319BD" w14:textId="77777777" w:rsidR="00845C4F" w:rsidRDefault="00845C4F" w:rsidP="0033307A">
      <w:pPr>
        <w:rPr>
          <w:rFonts w:ascii="Arial" w:hAnsi="Arial" w:cs="Arial"/>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9340"/>
      </w:tblGrid>
      <w:tr w:rsidR="00845C4F" w14:paraId="3C39BAF6" w14:textId="77777777" w:rsidTr="00845C4F">
        <w:tc>
          <w:tcPr>
            <w:tcW w:w="9350" w:type="dxa"/>
          </w:tcPr>
          <w:p w14:paraId="3913809C" w14:textId="774301C6" w:rsidR="00845C4F" w:rsidRPr="00845C4F" w:rsidRDefault="00845C4F" w:rsidP="00217464">
            <w:pPr>
              <w:rPr>
                <w:rFonts w:ascii="Arial" w:hAnsi="Arial" w:cs="Arial"/>
              </w:rPr>
            </w:pPr>
            <w:r w:rsidRPr="00F33BCE">
              <w:rPr>
                <w:rFonts w:ascii="Arial" w:hAnsi="Arial" w:cs="Arial"/>
                <w:b/>
              </w:rPr>
              <w:t>Background:</w:t>
            </w:r>
            <w:r w:rsidRPr="00F33BCE">
              <w:rPr>
                <w:rFonts w:ascii="Arial" w:hAnsi="Arial" w:cs="Arial"/>
              </w:rPr>
              <w:t xml:space="preserve"> The Pennsylvania Department of Revenue </w:t>
            </w:r>
            <w:r w:rsidR="00AE5EF8">
              <w:rPr>
                <w:rFonts w:ascii="Arial" w:hAnsi="Arial" w:cs="Arial"/>
              </w:rPr>
              <w:t>has received questions from tax practitioners regarding the ongoing Tax Amnesty program. Th</w:t>
            </w:r>
            <w:r w:rsidR="00217464">
              <w:rPr>
                <w:rFonts w:ascii="Arial" w:hAnsi="Arial" w:cs="Arial"/>
              </w:rPr>
              <w:t>is</w:t>
            </w:r>
            <w:r w:rsidR="00AE5EF8">
              <w:rPr>
                <w:rFonts w:ascii="Arial" w:hAnsi="Arial" w:cs="Arial"/>
              </w:rPr>
              <w:t xml:space="preserve"> document provides answers. </w:t>
            </w:r>
          </w:p>
        </w:tc>
      </w:tr>
    </w:tbl>
    <w:p w14:paraId="4D92C1F9" w14:textId="77777777" w:rsidR="00845C4F" w:rsidRDefault="00845C4F" w:rsidP="0033307A">
      <w:pPr>
        <w:rPr>
          <w:rFonts w:ascii="Arial" w:hAnsi="Arial" w:cs="Arial"/>
          <w:b/>
        </w:rPr>
      </w:pPr>
    </w:p>
    <w:p w14:paraId="2AF64710" w14:textId="77777777" w:rsidR="00F276DC" w:rsidRPr="00F33BCE" w:rsidRDefault="00F276DC" w:rsidP="00F33BCE">
      <w:pPr>
        <w:pStyle w:val="NoSpacing"/>
        <w:numPr>
          <w:ilvl w:val="0"/>
          <w:numId w:val="7"/>
        </w:numPr>
        <w:rPr>
          <w:rFonts w:ascii="Arial" w:hAnsi="Arial" w:cs="Arial"/>
        </w:rPr>
      </w:pPr>
      <w:r w:rsidRPr="00F33BCE">
        <w:rPr>
          <w:rFonts w:ascii="Arial" w:hAnsi="Arial" w:cs="Arial"/>
          <w:b/>
          <w:bCs/>
        </w:rPr>
        <w:t>Why are businesses getting notices for non-filed returns dating back many years?</w:t>
      </w:r>
    </w:p>
    <w:p w14:paraId="7D7AB93A" w14:textId="799D37F6" w:rsidR="00F276DC" w:rsidRPr="00F33BCE" w:rsidRDefault="00F276DC" w:rsidP="00F33BCE">
      <w:pPr>
        <w:pStyle w:val="NoSpacing"/>
        <w:ind w:left="360"/>
        <w:rPr>
          <w:rFonts w:ascii="Arial" w:hAnsi="Arial" w:cs="Arial"/>
        </w:rPr>
      </w:pPr>
      <w:r w:rsidRPr="00F33BCE">
        <w:rPr>
          <w:rFonts w:ascii="Arial" w:hAnsi="Arial" w:cs="Arial"/>
          <w:iCs/>
        </w:rPr>
        <w:t>The Department of Revenue is mailing letters about tax amnesty to individuals and entities with an unfiled period according to our records.</w:t>
      </w:r>
      <w:r w:rsidR="00264944">
        <w:rPr>
          <w:rFonts w:ascii="Arial" w:hAnsi="Arial" w:cs="Arial"/>
          <w:iCs/>
        </w:rPr>
        <w:t xml:space="preserve"> </w:t>
      </w:r>
      <w:r w:rsidRPr="00F33BCE">
        <w:rPr>
          <w:rFonts w:ascii="Arial" w:hAnsi="Arial" w:cs="Arial"/>
          <w:iCs/>
        </w:rPr>
        <w:t xml:space="preserve">Information regarding the unfiled period </w:t>
      </w:r>
      <w:proofErr w:type="gramStart"/>
      <w:r w:rsidRPr="00F33BCE">
        <w:rPr>
          <w:rFonts w:ascii="Arial" w:hAnsi="Arial" w:cs="Arial"/>
          <w:iCs/>
        </w:rPr>
        <w:t xml:space="preserve">should </w:t>
      </w:r>
      <w:r w:rsidR="00264944">
        <w:rPr>
          <w:rFonts w:ascii="Arial" w:hAnsi="Arial" w:cs="Arial"/>
          <w:iCs/>
        </w:rPr>
        <w:t>be provided</w:t>
      </w:r>
      <w:proofErr w:type="gramEnd"/>
      <w:r w:rsidR="00264944">
        <w:rPr>
          <w:rFonts w:ascii="Arial" w:hAnsi="Arial" w:cs="Arial"/>
          <w:iCs/>
        </w:rPr>
        <w:t xml:space="preserve"> </w:t>
      </w:r>
      <w:r w:rsidRPr="00F33BCE">
        <w:rPr>
          <w:rFonts w:ascii="Arial" w:hAnsi="Arial" w:cs="Arial"/>
          <w:iCs/>
        </w:rPr>
        <w:t xml:space="preserve">with the notice. Taxpayers or practitioners with questions should call the Tax Amnesty toll-free hotline at 1-844-727-8283. </w:t>
      </w:r>
    </w:p>
    <w:p w14:paraId="4E493E8B" w14:textId="77777777" w:rsidR="00F276DC" w:rsidRPr="00F33BCE" w:rsidRDefault="00F276DC" w:rsidP="00F33BCE">
      <w:pPr>
        <w:pStyle w:val="NoSpacing"/>
        <w:rPr>
          <w:rFonts w:ascii="Arial" w:hAnsi="Arial" w:cs="Arial"/>
        </w:rPr>
      </w:pPr>
    </w:p>
    <w:p w14:paraId="1BDCD1E6" w14:textId="09504AEC" w:rsidR="00F276DC" w:rsidRPr="00F33BCE" w:rsidRDefault="00F276DC" w:rsidP="00F33BCE">
      <w:pPr>
        <w:pStyle w:val="NoSpacing"/>
        <w:numPr>
          <w:ilvl w:val="0"/>
          <w:numId w:val="7"/>
        </w:numPr>
        <w:rPr>
          <w:rFonts w:ascii="Arial" w:hAnsi="Arial" w:cs="Arial"/>
        </w:rPr>
      </w:pPr>
      <w:r w:rsidRPr="00F33BCE">
        <w:rPr>
          <w:rFonts w:ascii="Arial" w:hAnsi="Arial" w:cs="Arial"/>
          <w:b/>
          <w:bCs/>
        </w:rPr>
        <w:t xml:space="preserve">Some of the unfiled returns are decades old.  Why </w:t>
      </w:r>
      <w:proofErr w:type="gramStart"/>
      <w:r w:rsidRPr="00F33BCE">
        <w:rPr>
          <w:rFonts w:ascii="Arial" w:hAnsi="Arial" w:cs="Arial"/>
          <w:b/>
          <w:bCs/>
        </w:rPr>
        <w:t xml:space="preserve">was </w:t>
      </w:r>
      <w:r w:rsidR="00264944">
        <w:rPr>
          <w:rFonts w:ascii="Arial" w:hAnsi="Arial" w:cs="Arial"/>
          <w:b/>
          <w:bCs/>
        </w:rPr>
        <w:t>a</w:t>
      </w:r>
      <w:r w:rsidRPr="00F33BCE">
        <w:rPr>
          <w:rFonts w:ascii="Arial" w:hAnsi="Arial" w:cs="Arial"/>
          <w:b/>
          <w:bCs/>
        </w:rPr>
        <w:t xml:space="preserve"> business not notified</w:t>
      </w:r>
      <w:proofErr w:type="gramEnd"/>
      <w:r w:rsidRPr="00F33BCE">
        <w:rPr>
          <w:rFonts w:ascii="Arial" w:hAnsi="Arial" w:cs="Arial"/>
          <w:b/>
          <w:bCs/>
        </w:rPr>
        <w:t xml:space="preserve"> sooner?</w:t>
      </w:r>
    </w:p>
    <w:p w14:paraId="4614D530" w14:textId="07BD6EDE" w:rsidR="00F276DC" w:rsidRPr="00F33BCE" w:rsidRDefault="00F276DC" w:rsidP="00F33BCE">
      <w:pPr>
        <w:pStyle w:val="NoSpacing"/>
        <w:ind w:left="360"/>
        <w:rPr>
          <w:rFonts w:ascii="Arial" w:hAnsi="Arial" w:cs="Arial"/>
        </w:rPr>
      </w:pPr>
      <w:r w:rsidRPr="00F33BCE">
        <w:rPr>
          <w:rFonts w:ascii="Arial" w:hAnsi="Arial" w:cs="Arial"/>
          <w:iCs/>
        </w:rPr>
        <w:t xml:space="preserve">The department notifies taxpayers when a return </w:t>
      </w:r>
      <w:proofErr w:type="gramStart"/>
      <w:r w:rsidRPr="00F33BCE">
        <w:rPr>
          <w:rFonts w:ascii="Arial" w:hAnsi="Arial" w:cs="Arial"/>
          <w:iCs/>
        </w:rPr>
        <w:t>is not filed</w:t>
      </w:r>
      <w:proofErr w:type="gramEnd"/>
      <w:r w:rsidRPr="00F33BCE">
        <w:rPr>
          <w:rFonts w:ascii="Arial" w:hAnsi="Arial" w:cs="Arial"/>
          <w:iCs/>
        </w:rPr>
        <w:t xml:space="preserve"> and if penalty and interest is applied for not filing. A letter sent decades ago might not have reached the current person or the correct business address. Tax amnesty is a good opportunity to update a taxpayer’s account with the Department of Revenue. </w:t>
      </w:r>
    </w:p>
    <w:p w14:paraId="28436A08" w14:textId="77777777" w:rsidR="00F276DC" w:rsidRPr="00F33BCE" w:rsidRDefault="00F276DC" w:rsidP="00F33BCE">
      <w:pPr>
        <w:pStyle w:val="NoSpacing"/>
        <w:rPr>
          <w:rFonts w:ascii="Arial" w:hAnsi="Arial" w:cs="Arial"/>
        </w:rPr>
      </w:pPr>
    </w:p>
    <w:p w14:paraId="6089F38F" w14:textId="77777777" w:rsidR="00845C4F" w:rsidRPr="00F33BCE" w:rsidRDefault="00845C4F" w:rsidP="00845C4F">
      <w:pPr>
        <w:pStyle w:val="NoSpacing"/>
        <w:numPr>
          <w:ilvl w:val="0"/>
          <w:numId w:val="7"/>
        </w:numPr>
        <w:rPr>
          <w:rFonts w:ascii="Arial" w:hAnsi="Arial" w:cs="Arial"/>
        </w:rPr>
      </w:pPr>
      <w:r w:rsidRPr="00F33BCE">
        <w:rPr>
          <w:rFonts w:ascii="Arial" w:hAnsi="Arial" w:cs="Arial"/>
          <w:b/>
          <w:bCs/>
        </w:rPr>
        <w:t>Did the department attempt to correct notices before contacting taxpayers?</w:t>
      </w:r>
    </w:p>
    <w:p w14:paraId="2751A9B0" w14:textId="77777777" w:rsidR="00845C4F" w:rsidRPr="00F33BCE" w:rsidRDefault="00845C4F" w:rsidP="00845C4F">
      <w:pPr>
        <w:pStyle w:val="NoSpacing"/>
        <w:ind w:left="360"/>
        <w:rPr>
          <w:rFonts w:ascii="Arial" w:hAnsi="Arial" w:cs="Arial"/>
          <w:iCs/>
        </w:rPr>
      </w:pPr>
      <w:r w:rsidRPr="00F33BCE">
        <w:rPr>
          <w:rFonts w:ascii="Arial" w:hAnsi="Arial" w:cs="Arial"/>
          <w:iCs/>
        </w:rPr>
        <w:t xml:space="preserve">The notices reflect the liability on the tax system. Before tax amnesty began, the department conducted data cleansing exercises, including the review of tens of thousands of taxpayer accounts. Taxpayers who believe they filed a return or paid the tax should call the tax amnesty hotline at 1-844-727-8283. </w:t>
      </w:r>
    </w:p>
    <w:p w14:paraId="0B51E9FB" w14:textId="77777777" w:rsidR="00845C4F" w:rsidRPr="00845C4F" w:rsidRDefault="00845C4F" w:rsidP="00845C4F">
      <w:pPr>
        <w:pStyle w:val="NoSpacing"/>
        <w:ind w:left="360"/>
        <w:rPr>
          <w:rFonts w:ascii="Arial" w:hAnsi="Arial" w:cs="Arial"/>
        </w:rPr>
      </w:pPr>
    </w:p>
    <w:p w14:paraId="08B80ACC" w14:textId="390EE41C" w:rsidR="00F276DC" w:rsidRPr="00F33BCE" w:rsidRDefault="00F276DC" w:rsidP="00F33BCE">
      <w:pPr>
        <w:pStyle w:val="NoSpacing"/>
        <w:numPr>
          <w:ilvl w:val="0"/>
          <w:numId w:val="7"/>
        </w:numPr>
        <w:rPr>
          <w:rFonts w:ascii="Arial" w:hAnsi="Arial" w:cs="Arial"/>
        </w:rPr>
      </w:pPr>
      <w:r w:rsidRPr="00F33BCE">
        <w:rPr>
          <w:rFonts w:ascii="Arial" w:hAnsi="Arial" w:cs="Arial"/>
          <w:b/>
          <w:bCs/>
        </w:rPr>
        <w:t>What should a business that gets an incorrect notice do?</w:t>
      </w:r>
    </w:p>
    <w:p w14:paraId="2D7708BE" w14:textId="6364F731" w:rsidR="00F276DC" w:rsidRPr="00F33BCE" w:rsidRDefault="00F276DC" w:rsidP="00F33BCE">
      <w:pPr>
        <w:pStyle w:val="NoSpacing"/>
        <w:ind w:left="360"/>
        <w:rPr>
          <w:rFonts w:ascii="Arial" w:hAnsi="Arial" w:cs="Arial"/>
        </w:rPr>
      </w:pPr>
      <w:r w:rsidRPr="00F33BCE">
        <w:rPr>
          <w:rFonts w:ascii="Arial" w:hAnsi="Arial" w:cs="Arial"/>
          <w:iCs/>
        </w:rPr>
        <w:t xml:space="preserve">The business should call the tax amnesty hotline at 1-844-727-8283, explain the periods are old and the department’s records </w:t>
      </w:r>
      <w:proofErr w:type="gramStart"/>
      <w:r w:rsidRPr="00F33BCE">
        <w:rPr>
          <w:rFonts w:ascii="Arial" w:hAnsi="Arial" w:cs="Arial"/>
          <w:iCs/>
        </w:rPr>
        <w:t>should be corrected</w:t>
      </w:r>
      <w:proofErr w:type="gramEnd"/>
      <w:r w:rsidRPr="00F33BCE">
        <w:rPr>
          <w:rFonts w:ascii="Arial" w:hAnsi="Arial" w:cs="Arial"/>
          <w:iCs/>
        </w:rPr>
        <w:t xml:space="preserve">. The department will review the account.  A business should not ignore the notice or it could miss savings that tax amnesty provides. </w:t>
      </w:r>
    </w:p>
    <w:p w14:paraId="4A973F5C" w14:textId="77777777" w:rsidR="00F276DC" w:rsidRPr="00F33BCE" w:rsidRDefault="00F276DC" w:rsidP="00F33BCE">
      <w:pPr>
        <w:pStyle w:val="NoSpacing"/>
        <w:rPr>
          <w:rFonts w:ascii="Arial" w:hAnsi="Arial" w:cs="Arial"/>
        </w:rPr>
      </w:pPr>
    </w:p>
    <w:p w14:paraId="1271F985" w14:textId="71E0E024" w:rsidR="00F276DC" w:rsidRPr="00F33BCE" w:rsidRDefault="00F276DC" w:rsidP="00F33BCE">
      <w:pPr>
        <w:pStyle w:val="NoSpacing"/>
        <w:numPr>
          <w:ilvl w:val="0"/>
          <w:numId w:val="7"/>
        </w:numPr>
        <w:rPr>
          <w:rFonts w:ascii="Arial" w:hAnsi="Arial" w:cs="Arial"/>
        </w:rPr>
      </w:pPr>
      <w:r w:rsidRPr="00F33BCE">
        <w:rPr>
          <w:rFonts w:ascii="Arial" w:hAnsi="Arial" w:cs="Arial"/>
          <w:b/>
          <w:bCs/>
        </w:rPr>
        <w:t xml:space="preserve">Is there a more efficient way to practitioners to rectify the issues with older, questionable, non-filed periods? </w:t>
      </w:r>
    </w:p>
    <w:p w14:paraId="0B409B6E" w14:textId="7605A9ED" w:rsidR="00F276DC" w:rsidRPr="00F33BCE" w:rsidRDefault="00F276DC" w:rsidP="00F33BCE">
      <w:pPr>
        <w:pStyle w:val="NoSpacing"/>
        <w:ind w:left="360"/>
        <w:rPr>
          <w:rFonts w:ascii="Arial" w:hAnsi="Arial" w:cs="Arial"/>
          <w:iCs/>
        </w:rPr>
      </w:pPr>
      <w:r w:rsidRPr="00F33BCE">
        <w:rPr>
          <w:rFonts w:ascii="Arial" w:hAnsi="Arial" w:cs="Arial"/>
          <w:iCs/>
        </w:rPr>
        <w:t xml:space="preserve">Practitioners can accumulate a list of their issues regarding non-filed amnesty periods on an Excel spreadsheet and email the spreadsheet to </w:t>
      </w:r>
      <w:hyperlink r:id="rId8" w:history="1">
        <w:r w:rsidRPr="00F33BCE">
          <w:rPr>
            <w:rStyle w:val="Hyperlink"/>
            <w:rFonts w:ascii="Arial" w:hAnsi="Arial" w:cs="Arial"/>
            <w:b/>
            <w:bCs/>
            <w:iCs/>
            <w:color w:val="0000FF"/>
          </w:rPr>
          <w:t>RA-RVAMNESTY@pa.gov</w:t>
        </w:r>
      </w:hyperlink>
      <w:r w:rsidRPr="00F33BCE">
        <w:rPr>
          <w:rFonts w:ascii="Arial" w:hAnsi="Arial" w:cs="Arial"/>
          <w:iCs/>
          <w:color w:val="0000FF"/>
        </w:rPr>
        <w:t>.</w:t>
      </w:r>
    </w:p>
    <w:p w14:paraId="5254E6E7" w14:textId="77777777" w:rsidR="00F276DC" w:rsidRPr="00F33BCE" w:rsidRDefault="00F276DC" w:rsidP="00F33BCE">
      <w:pPr>
        <w:pStyle w:val="NoSpacing"/>
        <w:ind w:left="360"/>
        <w:rPr>
          <w:rFonts w:ascii="Arial" w:hAnsi="Arial" w:cs="Arial"/>
          <w:iCs/>
        </w:rPr>
      </w:pPr>
    </w:p>
    <w:p w14:paraId="5E19613E" w14:textId="21EFC180" w:rsidR="00F276DC" w:rsidRPr="00F33BCE" w:rsidRDefault="00F276DC" w:rsidP="00F33BCE">
      <w:pPr>
        <w:pStyle w:val="NoSpacing"/>
        <w:ind w:left="360"/>
        <w:rPr>
          <w:rFonts w:ascii="Arial" w:hAnsi="Arial" w:cs="Arial"/>
        </w:rPr>
      </w:pPr>
      <w:r w:rsidRPr="00F33BCE">
        <w:rPr>
          <w:rFonts w:ascii="Arial" w:hAnsi="Arial" w:cs="Arial"/>
          <w:iCs/>
        </w:rPr>
        <w:t xml:space="preserve">Include the entity name, </w:t>
      </w:r>
      <w:proofErr w:type="gramStart"/>
      <w:r w:rsidRPr="00F33BCE">
        <w:rPr>
          <w:rFonts w:ascii="Arial" w:hAnsi="Arial" w:cs="Arial"/>
          <w:iCs/>
        </w:rPr>
        <w:t>either the EIN,</w:t>
      </w:r>
      <w:proofErr w:type="gramEnd"/>
      <w:r w:rsidRPr="00F33BCE">
        <w:rPr>
          <w:rFonts w:ascii="Arial" w:hAnsi="Arial" w:cs="Arial"/>
          <w:iCs/>
        </w:rPr>
        <w:t xml:space="preserve"> Revenue ID, or Amnesty PIN, and the relevant periods in question. </w:t>
      </w:r>
      <w:r w:rsidRPr="00F33BCE">
        <w:rPr>
          <w:rFonts w:ascii="Arial" w:hAnsi="Arial" w:cs="Arial"/>
          <w:b/>
          <w:iCs/>
        </w:rPr>
        <w:t>Do NOT</w:t>
      </w:r>
      <w:r w:rsidRPr="00F33BCE">
        <w:rPr>
          <w:rFonts w:ascii="Arial" w:hAnsi="Arial" w:cs="Arial"/>
          <w:iCs/>
        </w:rPr>
        <w:t xml:space="preserve"> use the </w:t>
      </w:r>
      <w:r w:rsidR="002E3A04" w:rsidRPr="00F33BCE">
        <w:rPr>
          <w:rFonts w:ascii="Arial" w:hAnsi="Arial" w:cs="Arial"/>
          <w:iCs/>
        </w:rPr>
        <w:t xml:space="preserve">spreadsheet to </w:t>
      </w:r>
      <w:r w:rsidRPr="00F33BCE">
        <w:rPr>
          <w:rFonts w:ascii="Arial" w:hAnsi="Arial" w:cs="Arial"/>
          <w:iCs/>
        </w:rPr>
        <w:t>file returns, apply for amne</w:t>
      </w:r>
      <w:r w:rsidR="00264944">
        <w:rPr>
          <w:rFonts w:ascii="Arial" w:hAnsi="Arial" w:cs="Arial"/>
          <w:iCs/>
        </w:rPr>
        <w:t xml:space="preserve">sty or </w:t>
      </w:r>
      <w:r w:rsidRPr="00F33BCE">
        <w:rPr>
          <w:rFonts w:ascii="Arial" w:hAnsi="Arial" w:cs="Arial"/>
          <w:iCs/>
        </w:rPr>
        <w:t xml:space="preserve">make payments. Anyone applying for tax amnesty must follow the instructions on the notice. </w:t>
      </w:r>
    </w:p>
    <w:p w14:paraId="62BA6619" w14:textId="77777777" w:rsidR="00264944" w:rsidRPr="00264944" w:rsidRDefault="00264944" w:rsidP="00264944">
      <w:pPr>
        <w:pStyle w:val="NoSpacing"/>
        <w:ind w:left="360"/>
        <w:rPr>
          <w:rFonts w:ascii="Arial" w:hAnsi="Arial" w:cs="Arial"/>
        </w:rPr>
      </w:pPr>
    </w:p>
    <w:p w14:paraId="07ED690D" w14:textId="0E1421A1" w:rsidR="002E3A04" w:rsidRPr="00264944" w:rsidRDefault="002E3A04" w:rsidP="00F33BCE">
      <w:pPr>
        <w:pStyle w:val="ListParagraph"/>
        <w:numPr>
          <w:ilvl w:val="0"/>
          <w:numId w:val="7"/>
        </w:numPr>
        <w:rPr>
          <w:rFonts w:ascii="Arial" w:hAnsi="Arial" w:cs="Arial"/>
          <w:b/>
        </w:rPr>
      </w:pPr>
      <w:r w:rsidRPr="00264944">
        <w:rPr>
          <w:rFonts w:ascii="Arial" w:hAnsi="Arial" w:cs="Arial"/>
          <w:b/>
        </w:rPr>
        <w:t>If the final day of tax amnesty is June 19, how much time does the department need to review the spreadsheet of unresolved client issues?</w:t>
      </w:r>
    </w:p>
    <w:p w14:paraId="07017C15" w14:textId="2B5B8BC6" w:rsidR="002E3A04" w:rsidRPr="00F33BCE" w:rsidRDefault="002E3A04" w:rsidP="00264944">
      <w:pPr>
        <w:pStyle w:val="ListParagraph"/>
        <w:ind w:left="360"/>
        <w:rPr>
          <w:rFonts w:ascii="Arial" w:hAnsi="Arial" w:cs="Arial"/>
        </w:rPr>
      </w:pPr>
      <w:r w:rsidRPr="00F33BCE">
        <w:rPr>
          <w:rFonts w:ascii="Arial" w:hAnsi="Arial" w:cs="Arial"/>
        </w:rPr>
        <w:t xml:space="preserve">The department will </w:t>
      </w:r>
      <w:r w:rsidR="00264944">
        <w:rPr>
          <w:rFonts w:ascii="Arial" w:hAnsi="Arial" w:cs="Arial"/>
        </w:rPr>
        <w:t xml:space="preserve">respond to </w:t>
      </w:r>
      <w:r w:rsidRPr="00F33BCE">
        <w:rPr>
          <w:rFonts w:ascii="Arial" w:hAnsi="Arial" w:cs="Arial"/>
        </w:rPr>
        <w:t xml:space="preserve">most routine matters within </w:t>
      </w:r>
      <w:r w:rsidR="00F276DC" w:rsidRPr="00F33BCE">
        <w:rPr>
          <w:rFonts w:ascii="Arial" w:hAnsi="Arial" w:cs="Arial"/>
        </w:rPr>
        <w:t>one</w:t>
      </w:r>
      <w:r w:rsidRPr="00F33BCE">
        <w:rPr>
          <w:rFonts w:ascii="Arial" w:hAnsi="Arial" w:cs="Arial"/>
        </w:rPr>
        <w:t xml:space="preserve"> (1)</w:t>
      </w:r>
      <w:r w:rsidR="00F276DC" w:rsidRPr="00F33BCE">
        <w:rPr>
          <w:rFonts w:ascii="Arial" w:hAnsi="Arial" w:cs="Arial"/>
        </w:rPr>
        <w:t xml:space="preserve"> business day.  </w:t>
      </w:r>
      <w:r w:rsidRPr="00F33BCE">
        <w:rPr>
          <w:rFonts w:ascii="Arial" w:hAnsi="Arial" w:cs="Arial"/>
        </w:rPr>
        <w:t xml:space="preserve">Complex matters requiring research will take additional time. </w:t>
      </w:r>
      <w:r w:rsidR="00F276DC" w:rsidRPr="00F33BCE">
        <w:rPr>
          <w:rFonts w:ascii="Arial" w:hAnsi="Arial" w:cs="Arial"/>
        </w:rPr>
        <w:t xml:space="preserve">Practitioners </w:t>
      </w:r>
      <w:r w:rsidRPr="00F33BCE">
        <w:rPr>
          <w:rFonts w:ascii="Arial" w:hAnsi="Arial" w:cs="Arial"/>
        </w:rPr>
        <w:t xml:space="preserve">are encouraged to email the Excel spreadsheet to </w:t>
      </w:r>
      <w:hyperlink r:id="rId9" w:history="1">
        <w:r w:rsidRPr="00845C4F">
          <w:rPr>
            <w:rStyle w:val="Hyperlink"/>
            <w:rFonts w:ascii="Arial" w:hAnsi="Arial" w:cs="Arial"/>
            <w:b/>
            <w:color w:val="0000FF"/>
          </w:rPr>
          <w:t>RA-RVAMNESTY@pa.gov</w:t>
        </w:r>
      </w:hyperlink>
      <w:r w:rsidR="00264944">
        <w:rPr>
          <w:rFonts w:ascii="Arial" w:hAnsi="Arial" w:cs="Arial"/>
          <w:color w:val="0000FF"/>
          <w:u w:val="single"/>
        </w:rPr>
        <w:t xml:space="preserve"> </w:t>
      </w:r>
      <w:r w:rsidR="00F276DC" w:rsidRPr="00F33BCE">
        <w:rPr>
          <w:rFonts w:ascii="Arial" w:hAnsi="Arial" w:cs="Arial"/>
        </w:rPr>
        <w:t>well before June 19, 2017</w:t>
      </w:r>
      <w:r w:rsidRPr="00F33BCE">
        <w:rPr>
          <w:rFonts w:ascii="Arial" w:hAnsi="Arial" w:cs="Arial"/>
        </w:rPr>
        <w:t>.  The statute authorizing tax amnesty does not provide extensions for filing or payments.</w:t>
      </w:r>
    </w:p>
    <w:p w14:paraId="7AFBBA09" w14:textId="3E853280" w:rsidR="00F33BCE" w:rsidRPr="00F33BCE" w:rsidRDefault="00F33BCE" w:rsidP="00F33BCE">
      <w:pPr>
        <w:pStyle w:val="ListParagraph"/>
        <w:ind w:left="360"/>
        <w:rPr>
          <w:rFonts w:ascii="Arial" w:hAnsi="Arial" w:cs="Arial"/>
        </w:rPr>
      </w:pPr>
    </w:p>
    <w:p w14:paraId="0DA4AB3F" w14:textId="77777777" w:rsidR="00264944" w:rsidRPr="00264944" w:rsidRDefault="00264944" w:rsidP="00264944">
      <w:pPr>
        <w:pStyle w:val="ListParagraph"/>
        <w:numPr>
          <w:ilvl w:val="0"/>
          <w:numId w:val="7"/>
        </w:numPr>
        <w:contextualSpacing w:val="0"/>
        <w:rPr>
          <w:rFonts w:ascii="Arial" w:hAnsi="Arial" w:cs="Arial"/>
          <w:b/>
        </w:rPr>
      </w:pPr>
      <w:r w:rsidRPr="00264944">
        <w:rPr>
          <w:rFonts w:ascii="Arial" w:hAnsi="Arial" w:cs="Arial"/>
          <w:b/>
        </w:rPr>
        <w:t>Will the department provide rapid responses so practitioners can complete the needed information before the tax amnesty program ends on June 19?</w:t>
      </w:r>
    </w:p>
    <w:p w14:paraId="014A3D39" w14:textId="77777777" w:rsidR="00264944" w:rsidRPr="00F33BCE" w:rsidRDefault="00264944" w:rsidP="00264944">
      <w:pPr>
        <w:pStyle w:val="ListParagraph"/>
        <w:ind w:left="360"/>
        <w:contextualSpacing w:val="0"/>
        <w:rPr>
          <w:rFonts w:ascii="Arial" w:hAnsi="Arial" w:cs="Arial"/>
        </w:rPr>
      </w:pPr>
      <w:r w:rsidRPr="00F33BCE">
        <w:rPr>
          <w:rFonts w:ascii="Arial" w:hAnsi="Arial" w:cs="Arial"/>
        </w:rPr>
        <w:t>The department is making every effort to conclude research on accounts as quickly as possible and respond to the practitioner so the taxpayer may participate in tax amnesty.</w:t>
      </w:r>
    </w:p>
    <w:p w14:paraId="6104BBC7" w14:textId="77777777" w:rsidR="00264944" w:rsidRDefault="00264944" w:rsidP="00264944">
      <w:pPr>
        <w:pStyle w:val="ListParagraph"/>
        <w:ind w:left="360"/>
        <w:contextualSpacing w:val="0"/>
        <w:rPr>
          <w:rFonts w:ascii="Arial" w:hAnsi="Arial" w:cs="Arial"/>
          <w:b/>
        </w:rPr>
      </w:pPr>
    </w:p>
    <w:p w14:paraId="76BABD69" w14:textId="756E8A8E" w:rsidR="00AE5EF8" w:rsidRDefault="00AE5EF8" w:rsidP="00845C4F">
      <w:pPr>
        <w:pStyle w:val="ListParagraph"/>
        <w:numPr>
          <w:ilvl w:val="0"/>
          <w:numId w:val="7"/>
        </w:numPr>
        <w:contextualSpacing w:val="0"/>
        <w:rPr>
          <w:rFonts w:ascii="Arial" w:hAnsi="Arial" w:cs="Arial"/>
          <w:b/>
        </w:rPr>
      </w:pPr>
      <w:r>
        <w:rPr>
          <w:rFonts w:ascii="Arial" w:hAnsi="Arial" w:cs="Arial"/>
          <w:b/>
        </w:rPr>
        <w:t xml:space="preserve">Is there an </w:t>
      </w:r>
      <w:r w:rsidR="005F7948">
        <w:rPr>
          <w:rFonts w:ascii="Arial" w:hAnsi="Arial" w:cs="Arial"/>
          <w:b/>
        </w:rPr>
        <w:t>extension</w:t>
      </w:r>
      <w:bookmarkStart w:id="0" w:name="_GoBack"/>
      <w:bookmarkEnd w:id="0"/>
      <w:r w:rsidR="005F7948">
        <w:rPr>
          <w:rFonts w:ascii="Arial" w:hAnsi="Arial" w:cs="Arial"/>
          <w:b/>
        </w:rPr>
        <w:t xml:space="preserve"> </w:t>
      </w:r>
      <w:r>
        <w:rPr>
          <w:rFonts w:ascii="Arial" w:hAnsi="Arial" w:cs="Arial"/>
          <w:b/>
        </w:rPr>
        <w:t>available to file or pay after Tax Amnesty ends on June 19?</w:t>
      </w:r>
    </w:p>
    <w:p w14:paraId="733FBDFB" w14:textId="39DED3B7" w:rsidR="00AE5EF8" w:rsidRPr="00AE5EF8" w:rsidRDefault="00AE5EF8" w:rsidP="00AE5EF8">
      <w:pPr>
        <w:pStyle w:val="ListParagraph"/>
        <w:ind w:left="360"/>
        <w:contextualSpacing w:val="0"/>
        <w:rPr>
          <w:rFonts w:ascii="Arial" w:hAnsi="Arial" w:cs="Arial"/>
        </w:rPr>
      </w:pPr>
      <w:r w:rsidRPr="00AE5EF8">
        <w:rPr>
          <w:rFonts w:ascii="Arial" w:hAnsi="Arial" w:cs="Arial"/>
        </w:rPr>
        <w:t>No. The statute creating the Tax Amnesty program does not provide for extensions</w:t>
      </w:r>
      <w:r>
        <w:rPr>
          <w:rFonts w:ascii="Arial" w:hAnsi="Arial" w:cs="Arial"/>
        </w:rPr>
        <w:t xml:space="preserve">. The program ends </w:t>
      </w:r>
      <w:r w:rsidRPr="00AE5EF8">
        <w:rPr>
          <w:rFonts w:ascii="Arial" w:hAnsi="Arial" w:cs="Arial"/>
        </w:rPr>
        <w:t xml:space="preserve">June 19, 2017. </w:t>
      </w:r>
    </w:p>
    <w:p w14:paraId="43347B92" w14:textId="77777777" w:rsidR="00AE5EF8" w:rsidRDefault="00AE5EF8" w:rsidP="00AE5EF8">
      <w:pPr>
        <w:pStyle w:val="ListParagraph"/>
        <w:ind w:left="360"/>
        <w:contextualSpacing w:val="0"/>
        <w:rPr>
          <w:rFonts w:ascii="Arial" w:hAnsi="Arial" w:cs="Arial"/>
          <w:b/>
        </w:rPr>
      </w:pPr>
    </w:p>
    <w:p w14:paraId="3D8EC758" w14:textId="052EFD5E" w:rsidR="00845C4F" w:rsidRPr="00264944" w:rsidRDefault="00845C4F" w:rsidP="00845C4F">
      <w:pPr>
        <w:pStyle w:val="ListParagraph"/>
        <w:numPr>
          <w:ilvl w:val="0"/>
          <w:numId w:val="7"/>
        </w:numPr>
        <w:contextualSpacing w:val="0"/>
        <w:rPr>
          <w:rFonts w:ascii="Arial" w:hAnsi="Arial" w:cs="Arial"/>
          <w:b/>
        </w:rPr>
      </w:pPr>
      <w:r w:rsidRPr="00264944">
        <w:rPr>
          <w:rFonts w:ascii="Arial" w:hAnsi="Arial" w:cs="Arial"/>
          <w:b/>
        </w:rPr>
        <w:t xml:space="preserve">If a practitioner files a zero, non-filed returns on e-TIDES must a paper return also be mailed to the Department of </w:t>
      </w:r>
      <w:proofErr w:type="gramStart"/>
      <w:r w:rsidRPr="00264944">
        <w:rPr>
          <w:rFonts w:ascii="Arial" w:hAnsi="Arial" w:cs="Arial"/>
          <w:b/>
        </w:rPr>
        <w:t>Revenue?</w:t>
      </w:r>
      <w:proofErr w:type="gramEnd"/>
    </w:p>
    <w:p w14:paraId="298250FD" w14:textId="77777777" w:rsidR="00845C4F" w:rsidRPr="00F33BCE" w:rsidRDefault="00845C4F" w:rsidP="00845C4F">
      <w:pPr>
        <w:pStyle w:val="ListParagraph"/>
        <w:ind w:left="360"/>
        <w:contextualSpacing w:val="0"/>
        <w:rPr>
          <w:rFonts w:ascii="Arial" w:hAnsi="Arial" w:cs="Arial"/>
        </w:rPr>
      </w:pPr>
      <w:r w:rsidRPr="00F33BCE">
        <w:rPr>
          <w:rFonts w:ascii="Arial" w:hAnsi="Arial" w:cs="Arial"/>
        </w:rPr>
        <w:t>No.</w:t>
      </w:r>
    </w:p>
    <w:p w14:paraId="558DBAC0" w14:textId="77777777" w:rsidR="00845C4F" w:rsidRDefault="00845C4F" w:rsidP="00845C4F">
      <w:pPr>
        <w:pStyle w:val="ListParagraph"/>
        <w:ind w:left="360"/>
        <w:contextualSpacing w:val="0"/>
        <w:rPr>
          <w:rFonts w:ascii="Arial" w:hAnsi="Arial" w:cs="Arial"/>
          <w:b/>
        </w:rPr>
      </w:pPr>
    </w:p>
    <w:p w14:paraId="4C2618CF" w14:textId="1FC7F84F" w:rsidR="002E3A04" w:rsidRPr="00264944" w:rsidRDefault="002E3A04" w:rsidP="00F33BCE">
      <w:pPr>
        <w:pStyle w:val="ListParagraph"/>
        <w:numPr>
          <w:ilvl w:val="0"/>
          <w:numId w:val="7"/>
        </w:numPr>
        <w:contextualSpacing w:val="0"/>
        <w:rPr>
          <w:rFonts w:ascii="Arial" w:hAnsi="Arial" w:cs="Arial"/>
          <w:b/>
        </w:rPr>
      </w:pPr>
      <w:r w:rsidRPr="00264944">
        <w:rPr>
          <w:rFonts w:ascii="Arial" w:hAnsi="Arial" w:cs="Arial"/>
          <w:b/>
        </w:rPr>
        <w:t xml:space="preserve">Does a reassessment notice of qualifying years, but assessed/due after December 31, 2015 qualify for tax amnesty? </w:t>
      </w:r>
    </w:p>
    <w:p w14:paraId="63569956" w14:textId="663E89C1" w:rsidR="00F276DC" w:rsidRPr="00F33BCE" w:rsidRDefault="00F276DC" w:rsidP="00F33BCE">
      <w:pPr>
        <w:pStyle w:val="ListParagraph"/>
        <w:ind w:left="360"/>
        <w:contextualSpacing w:val="0"/>
        <w:rPr>
          <w:rFonts w:ascii="Arial" w:hAnsi="Arial" w:cs="Arial"/>
        </w:rPr>
      </w:pPr>
      <w:r w:rsidRPr="00F33BCE">
        <w:rPr>
          <w:rFonts w:ascii="Arial" w:hAnsi="Arial" w:cs="Arial"/>
        </w:rPr>
        <w:t>Yes.  For example, if a 201</w:t>
      </w:r>
      <w:r w:rsidR="00264944">
        <w:rPr>
          <w:rFonts w:ascii="Arial" w:hAnsi="Arial" w:cs="Arial"/>
        </w:rPr>
        <w:t xml:space="preserve">4 personal income tax return </w:t>
      </w:r>
      <w:proofErr w:type="gramStart"/>
      <w:r w:rsidR="00264944">
        <w:rPr>
          <w:rFonts w:ascii="Arial" w:hAnsi="Arial" w:cs="Arial"/>
        </w:rPr>
        <w:t>is</w:t>
      </w:r>
      <w:r w:rsidRPr="00F33BCE">
        <w:rPr>
          <w:rFonts w:ascii="Arial" w:hAnsi="Arial" w:cs="Arial"/>
        </w:rPr>
        <w:t xml:space="preserve"> assessed</w:t>
      </w:r>
      <w:proofErr w:type="gramEnd"/>
      <w:r w:rsidRPr="00F33BCE">
        <w:rPr>
          <w:rFonts w:ascii="Arial" w:hAnsi="Arial" w:cs="Arial"/>
        </w:rPr>
        <w:t xml:space="preserve"> on February 1, 2017, this assessment is amnesty eligible assuming the taxpayer meets the other requirements for amnesty.</w:t>
      </w:r>
    </w:p>
    <w:p w14:paraId="580D4773" w14:textId="77777777" w:rsidR="00F33BCE" w:rsidRPr="00F33BCE" w:rsidRDefault="00F33BCE" w:rsidP="00F33BCE">
      <w:pPr>
        <w:pStyle w:val="ListParagraph"/>
        <w:ind w:left="360"/>
        <w:contextualSpacing w:val="0"/>
        <w:rPr>
          <w:rFonts w:ascii="Arial" w:hAnsi="Arial" w:cs="Arial"/>
        </w:rPr>
      </w:pPr>
    </w:p>
    <w:p w14:paraId="1DF04597" w14:textId="0EE900AE" w:rsidR="00F33BCE" w:rsidRPr="00264944" w:rsidRDefault="00F33BCE" w:rsidP="00F33BCE">
      <w:pPr>
        <w:pStyle w:val="ListParagraph"/>
        <w:numPr>
          <w:ilvl w:val="0"/>
          <w:numId w:val="7"/>
        </w:numPr>
        <w:contextualSpacing w:val="0"/>
        <w:rPr>
          <w:rFonts w:ascii="Arial" w:hAnsi="Arial" w:cs="Arial"/>
          <w:b/>
        </w:rPr>
      </w:pPr>
      <w:r w:rsidRPr="00264944">
        <w:rPr>
          <w:rFonts w:ascii="Arial" w:hAnsi="Arial" w:cs="Arial"/>
          <w:b/>
        </w:rPr>
        <w:t>How can practitioners receiving automated phone calls about tax amnesty determine which client is eligible for the program?</w:t>
      </w:r>
    </w:p>
    <w:p w14:paraId="78F22962" w14:textId="3EA2585E" w:rsidR="00F33BCE" w:rsidRPr="00F33BCE" w:rsidRDefault="00F276DC" w:rsidP="00F33BCE">
      <w:pPr>
        <w:pStyle w:val="ListParagraph"/>
        <w:ind w:left="360"/>
        <w:contextualSpacing w:val="0"/>
        <w:rPr>
          <w:rFonts w:ascii="Arial" w:hAnsi="Arial" w:cs="Arial"/>
        </w:rPr>
      </w:pPr>
      <w:r w:rsidRPr="00F33BCE">
        <w:rPr>
          <w:rFonts w:ascii="Arial" w:hAnsi="Arial" w:cs="Arial"/>
        </w:rPr>
        <w:t xml:space="preserve">The department </w:t>
      </w:r>
      <w:r w:rsidR="00F33BCE" w:rsidRPr="00F33BCE">
        <w:rPr>
          <w:rFonts w:ascii="Arial" w:hAnsi="Arial" w:cs="Arial"/>
        </w:rPr>
        <w:t>has reduce</w:t>
      </w:r>
      <w:r w:rsidR="00264944">
        <w:rPr>
          <w:rFonts w:ascii="Arial" w:hAnsi="Arial" w:cs="Arial"/>
        </w:rPr>
        <w:t>d</w:t>
      </w:r>
      <w:r w:rsidR="00F33BCE" w:rsidRPr="00F33BCE">
        <w:rPr>
          <w:rFonts w:ascii="Arial" w:hAnsi="Arial" w:cs="Arial"/>
        </w:rPr>
        <w:t xml:space="preserve"> the number of automated calls per day to avoid this situation. </w:t>
      </w:r>
    </w:p>
    <w:p w14:paraId="6BB14396" w14:textId="77777777" w:rsidR="00F33BCE" w:rsidRPr="00F33BCE" w:rsidRDefault="00F33BCE" w:rsidP="00F33BCE">
      <w:pPr>
        <w:pStyle w:val="ListParagraph"/>
        <w:ind w:left="360"/>
        <w:contextualSpacing w:val="0"/>
        <w:rPr>
          <w:rFonts w:ascii="Arial" w:hAnsi="Arial" w:cs="Arial"/>
        </w:rPr>
      </w:pPr>
    </w:p>
    <w:p w14:paraId="1CB90C48" w14:textId="1EC0F630" w:rsidR="00F33BCE" w:rsidRPr="00264944" w:rsidRDefault="00F33BCE" w:rsidP="00F33BCE">
      <w:pPr>
        <w:pStyle w:val="ListParagraph"/>
        <w:numPr>
          <w:ilvl w:val="0"/>
          <w:numId w:val="7"/>
        </w:numPr>
        <w:contextualSpacing w:val="0"/>
        <w:rPr>
          <w:rFonts w:ascii="Arial" w:hAnsi="Arial" w:cs="Arial"/>
          <w:b/>
        </w:rPr>
      </w:pPr>
      <w:r w:rsidRPr="00264944">
        <w:rPr>
          <w:rFonts w:ascii="Arial" w:hAnsi="Arial" w:cs="Arial"/>
          <w:b/>
        </w:rPr>
        <w:t xml:space="preserve">Is there a </w:t>
      </w:r>
      <w:proofErr w:type="gramStart"/>
      <w:r w:rsidRPr="00264944">
        <w:rPr>
          <w:rFonts w:ascii="Arial" w:hAnsi="Arial" w:cs="Arial"/>
          <w:b/>
        </w:rPr>
        <w:t>tax amnesty phone number</w:t>
      </w:r>
      <w:proofErr w:type="gramEnd"/>
      <w:r w:rsidRPr="00264944">
        <w:rPr>
          <w:rFonts w:ascii="Arial" w:hAnsi="Arial" w:cs="Arial"/>
          <w:b/>
        </w:rPr>
        <w:t xml:space="preserve"> dedicated to practitioners?</w:t>
      </w:r>
    </w:p>
    <w:p w14:paraId="796CFB94" w14:textId="77777777" w:rsidR="00AE5EF8" w:rsidRDefault="00F276DC" w:rsidP="00AE5EF8">
      <w:pPr>
        <w:pStyle w:val="ListParagraph"/>
        <w:ind w:left="360"/>
        <w:contextualSpacing w:val="0"/>
        <w:rPr>
          <w:rFonts w:ascii="Arial" w:hAnsi="Arial" w:cs="Arial"/>
          <w:b/>
          <w:color w:val="0000FF"/>
        </w:rPr>
      </w:pPr>
      <w:r w:rsidRPr="00F33BCE">
        <w:rPr>
          <w:rFonts w:ascii="Arial" w:hAnsi="Arial" w:cs="Arial"/>
        </w:rPr>
        <w:t>Practitioners are encouraged to contact the</w:t>
      </w:r>
      <w:r w:rsidR="00F33BCE" w:rsidRPr="00F33BCE">
        <w:rPr>
          <w:rFonts w:ascii="Arial" w:hAnsi="Arial" w:cs="Arial"/>
        </w:rPr>
        <w:t xml:space="preserve"> tax</w:t>
      </w:r>
      <w:r w:rsidRPr="00F33BCE">
        <w:rPr>
          <w:rFonts w:ascii="Arial" w:hAnsi="Arial" w:cs="Arial"/>
        </w:rPr>
        <w:t xml:space="preserve"> amnesty hotline at 1-844-727-8283 or to send an email to </w:t>
      </w:r>
      <w:hyperlink r:id="rId10" w:history="1">
        <w:r w:rsidRPr="00845C4F">
          <w:rPr>
            <w:rStyle w:val="Hyperlink"/>
            <w:rFonts w:ascii="Arial" w:hAnsi="Arial" w:cs="Arial"/>
            <w:b/>
            <w:color w:val="0000FF"/>
          </w:rPr>
          <w:t>RA-RVAMNESTY@pa.gov</w:t>
        </w:r>
      </w:hyperlink>
      <w:r w:rsidRPr="00845C4F">
        <w:rPr>
          <w:rFonts w:ascii="Arial" w:hAnsi="Arial" w:cs="Arial"/>
          <w:b/>
          <w:color w:val="0000FF"/>
        </w:rPr>
        <w:t>.</w:t>
      </w:r>
    </w:p>
    <w:p w14:paraId="3F53D59B" w14:textId="77777777" w:rsidR="00AE5EF8" w:rsidRPr="00AE5EF8" w:rsidRDefault="00AE5EF8" w:rsidP="00AE5EF8">
      <w:pPr>
        <w:pStyle w:val="ListParagraph"/>
        <w:ind w:left="360"/>
        <w:contextualSpacing w:val="0"/>
        <w:rPr>
          <w:rFonts w:ascii="Arial" w:hAnsi="Arial" w:cs="Arial"/>
          <w:b/>
        </w:rPr>
      </w:pPr>
    </w:p>
    <w:p w14:paraId="06B6444A" w14:textId="57A0EBA6" w:rsidR="00AE5EF8" w:rsidRPr="00AE5EF8" w:rsidRDefault="00AE5EF8" w:rsidP="00AE5EF8">
      <w:pPr>
        <w:pStyle w:val="ListParagraph"/>
        <w:numPr>
          <w:ilvl w:val="0"/>
          <w:numId w:val="7"/>
        </w:numPr>
        <w:contextualSpacing w:val="0"/>
        <w:rPr>
          <w:rFonts w:ascii="Arial" w:hAnsi="Arial" w:cs="Arial"/>
          <w:b/>
        </w:rPr>
      </w:pPr>
      <w:r w:rsidRPr="00AE5EF8">
        <w:rPr>
          <w:rFonts w:ascii="Arial" w:hAnsi="Arial" w:cs="Arial"/>
          <w:b/>
        </w:rPr>
        <w:t xml:space="preserve">Pioneer Credit Recovery is coordinating the </w:t>
      </w:r>
      <w:r w:rsidRPr="00AE5EF8">
        <w:rPr>
          <w:rFonts w:ascii="Arial" w:hAnsi="Arial" w:cs="Arial"/>
          <w:b/>
        </w:rPr>
        <w:t xml:space="preserve">Tax Amnesty </w:t>
      </w:r>
      <w:r w:rsidRPr="00AE5EF8">
        <w:rPr>
          <w:rFonts w:ascii="Arial" w:hAnsi="Arial" w:cs="Arial"/>
          <w:b/>
        </w:rPr>
        <w:t xml:space="preserve">program on behalf of </w:t>
      </w:r>
      <w:r w:rsidRPr="00AE5EF8">
        <w:rPr>
          <w:rFonts w:ascii="Arial" w:hAnsi="Arial" w:cs="Arial"/>
          <w:b/>
        </w:rPr>
        <w:t>the Department of Revenue</w:t>
      </w:r>
      <w:r w:rsidRPr="00AE5EF8">
        <w:rPr>
          <w:rFonts w:ascii="Arial" w:hAnsi="Arial" w:cs="Arial"/>
          <w:b/>
        </w:rPr>
        <w:t xml:space="preserve">. </w:t>
      </w:r>
      <w:r w:rsidRPr="00AE5EF8">
        <w:rPr>
          <w:rFonts w:ascii="Arial" w:hAnsi="Arial" w:cs="Arial"/>
          <w:b/>
        </w:rPr>
        <w:t>Does the company charg</w:t>
      </w:r>
      <w:r>
        <w:rPr>
          <w:rFonts w:ascii="Arial" w:hAnsi="Arial" w:cs="Arial"/>
          <w:b/>
        </w:rPr>
        <w:t>e an additional fee to tax amnesty participants</w:t>
      </w:r>
      <w:r w:rsidRPr="00AE5EF8">
        <w:rPr>
          <w:rFonts w:ascii="Arial" w:hAnsi="Arial" w:cs="Arial"/>
          <w:b/>
        </w:rPr>
        <w:t>?</w:t>
      </w:r>
    </w:p>
    <w:p w14:paraId="0C6EF5EA" w14:textId="6CA6A34A" w:rsidR="00264944" w:rsidRDefault="00AE5EF8" w:rsidP="00AE5EF8">
      <w:pPr>
        <w:pStyle w:val="NoSpacing"/>
        <w:ind w:left="360"/>
        <w:rPr>
          <w:rFonts w:ascii="Arial" w:hAnsi="Arial" w:cs="Arial"/>
        </w:rPr>
      </w:pPr>
      <w:r w:rsidRPr="00AE5EF8">
        <w:rPr>
          <w:rFonts w:ascii="Arial" w:hAnsi="Arial" w:cs="Arial"/>
        </w:rPr>
        <w:t>No.</w:t>
      </w:r>
      <w:r w:rsidR="00217464">
        <w:rPr>
          <w:rFonts w:ascii="Arial" w:hAnsi="Arial" w:cs="Arial"/>
        </w:rPr>
        <w:t xml:space="preserve"> There is no fee or charge</w:t>
      </w:r>
      <w:r>
        <w:rPr>
          <w:rFonts w:ascii="Arial" w:hAnsi="Arial" w:cs="Arial"/>
        </w:rPr>
        <w:t xml:space="preserve"> to participants for Pioneer’s services.</w:t>
      </w:r>
    </w:p>
    <w:p w14:paraId="17A79E1A" w14:textId="77777777" w:rsidR="00AE5EF8" w:rsidRPr="00AE5EF8" w:rsidRDefault="00AE5EF8" w:rsidP="00AE5EF8">
      <w:pPr>
        <w:pStyle w:val="NoSpacing"/>
        <w:ind w:left="360"/>
        <w:rPr>
          <w:rFonts w:ascii="Arial" w:hAnsi="Arial" w:cs="Arial"/>
        </w:rPr>
      </w:pPr>
    </w:p>
    <w:p w14:paraId="3BACE35A" w14:textId="77777777" w:rsidR="00AE5EF8" w:rsidRPr="00264944" w:rsidRDefault="00AE5EF8" w:rsidP="00264944">
      <w:pPr>
        <w:pStyle w:val="NoSpacing"/>
        <w:ind w:left="360"/>
        <w:rPr>
          <w:rFonts w:ascii="Arial" w:hAnsi="Arial" w:cs="Arial"/>
        </w:rPr>
      </w:pPr>
    </w:p>
    <w:p w14:paraId="0D82CD7E" w14:textId="77777777" w:rsidR="00264944" w:rsidRPr="00F33BCE" w:rsidRDefault="00264944" w:rsidP="00F33BCE">
      <w:pPr>
        <w:pStyle w:val="ListParagraph"/>
        <w:ind w:left="360"/>
        <w:contextualSpacing w:val="0"/>
        <w:rPr>
          <w:rFonts w:ascii="Arial" w:hAnsi="Arial" w:cs="Arial"/>
          <w:color w:val="000080"/>
        </w:rPr>
      </w:pPr>
    </w:p>
    <w:p w14:paraId="2E842660" w14:textId="77777777" w:rsidR="00F33BCE" w:rsidRPr="00F33BCE" w:rsidRDefault="00F33BCE" w:rsidP="00F33BCE">
      <w:pPr>
        <w:pStyle w:val="ListParagraph"/>
        <w:ind w:left="360"/>
        <w:contextualSpacing w:val="0"/>
        <w:rPr>
          <w:rFonts w:ascii="Arial" w:hAnsi="Arial" w:cs="Arial"/>
          <w:color w:val="000080"/>
        </w:rPr>
      </w:pPr>
    </w:p>
    <w:p w14:paraId="330A5C40" w14:textId="77777777" w:rsidR="00F33BCE" w:rsidRPr="00F33BCE" w:rsidRDefault="00F33BCE" w:rsidP="00F33BCE">
      <w:pPr>
        <w:pStyle w:val="ListParagraph"/>
        <w:ind w:left="360"/>
        <w:contextualSpacing w:val="0"/>
        <w:rPr>
          <w:rFonts w:ascii="Arial" w:hAnsi="Arial" w:cs="Arial"/>
          <w:color w:val="000080"/>
        </w:rPr>
      </w:pPr>
    </w:p>
    <w:p w14:paraId="14FCB113" w14:textId="77777777" w:rsidR="00F276DC" w:rsidRPr="00F33BCE" w:rsidRDefault="00F276DC" w:rsidP="00F276DC">
      <w:pPr>
        <w:rPr>
          <w:rFonts w:ascii="Arial" w:hAnsi="Arial" w:cs="Arial"/>
          <w:color w:val="000080"/>
        </w:rPr>
      </w:pPr>
    </w:p>
    <w:p w14:paraId="3E8DFF06" w14:textId="77777777" w:rsidR="00F276DC" w:rsidRPr="00F33BCE" w:rsidRDefault="00F276DC" w:rsidP="0033307A">
      <w:pPr>
        <w:rPr>
          <w:rFonts w:ascii="Arial" w:hAnsi="Arial" w:cs="Arial"/>
        </w:rPr>
      </w:pPr>
    </w:p>
    <w:sectPr w:rsidR="00F276DC" w:rsidRPr="00F33BCE" w:rsidSect="00F276DC">
      <w:headerReference w:type="default" r:id="rId11"/>
      <w:footerReference w:type="default" r:id="rId12"/>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8301" w14:textId="77777777" w:rsidR="00DF19C9" w:rsidRDefault="00DF19C9" w:rsidP="00F27F07">
      <w:r>
        <w:separator/>
      </w:r>
    </w:p>
  </w:endnote>
  <w:endnote w:type="continuationSeparator" w:id="0">
    <w:p w14:paraId="0DE5D5D4" w14:textId="77777777" w:rsidR="00DF19C9" w:rsidRDefault="00DF19C9" w:rsidP="00F2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9CB4" w14:textId="5F1BA1D5" w:rsidR="00845C4F" w:rsidRPr="00845C4F" w:rsidRDefault="00845C4F" w:rsidP="00845C4F">
    <w:pPr>
      <w:pStyle w:val="Footer"/>
      <w:jc w:val="center"/>
      <w:rPr>
        <w:rFonts w:ascii="Arial" w:hAnsi="Arial" w:cs="Arial"/>
        <w:sz w:val="20"/>
      </w:rPr>
    </w:pPr>
    <w:r w:rsidRPr="00845C4F">
      <w:rPr>
        <w:rFonts w:ascii="Arial" w:hAnsi="Arial" w:cs="Arial"/>
        <w:sz w:val="20"/>
      </w:rPr>
      <w:t>2017 PA Tax Amnesty Program</w:t>
    </w:r>
  </w:p>
  <w:p w14:paraId="7646626F" w14:textId="4A2F76D2" w:rsidR="00F276DC" w:rsidRDefault="005F7948" w:rsidP="00845C4F">
    <w:pPr>
      <w:pStyle w:val="Footer"/>
      <w:jc w:val="center"/>
      <w:rPr>
        <w:rFonts w:ascii="Arial" w:hAnsi="Arial" w:cs="Arial"/>
        <w:sz w:val="20"/>
      </w:rPr>
    </w:pPr>
    <w:hyperlink r:id="rId1" w:history="1">
      <w:r w:rsidR="00845C4F" w:rsidRPr="00845C4F">
        <w:rPr>
          <w:rStyle w:val="Hyperlink"/>
          <w:rFonts w:ascii="Arial" w:hAnsi="Arial" w:cs="Arial"/>
          <w:sz w:val="20"/>
        </w:rPr>
        <w:t>www.backtax.pa.gov</w:t>
      </w:r>
    </w:hyperlink>
    <w:r w:rsidR="00845C4F" w:rsidRPr="00845C4F">
      <w:rPr>
        <w:rFonts w:ascii="Arial" w:hAnsi="Arial" w:cs="Arial"/>
        <w:sz w:val="20"/>
      </w:rPr>
      <w:t xml:space="preserve">    1-844-PA-STATE-TAX (1-844-727-8283)</w:t>
    </w:r>
  </w:p>
  <w:p w14:paraId="19EE2B43" w14:textId="40558852" w:rsidR="00845C4F" w:rsidRPr="00845C4F" w:rsidRDefault="00845C4F" w:rsidP="00845C4F">
    <w:pPr>
      <w:pStyle w:val="Footer"/>
      <w:jc w:val="right"/>
      <w:rPr>
        <w:rFonts w:ascii="Arial" w:hAnsi="Arial" w:cs="Arial"/>
        <w:sz w:val="16"/>
      </w:rPr>
    </w:pPr>
    <w:r w:rsidRPr="00845C4F">
      <w:rPr>
        <w:rFonts w:ascii="Arial" w:hAnsi="Arial" w:cs="Arial"/>
        <w:sz w:val="16"/>
      </w:rPr>
      <w:t>Updated: May 17,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6143" w14:textId="77777777" w:rsidR="00DF19C9" w:rsidRDefault="00DF19C9" w:rsidP="00F27F07">
      <w:r>
        <w:separator/>
      </w:r>
    </w:p>
  </w:footnote>
  <w:footnote w:type="continuationSeparator" w:id="0">
    <w:p w14:paraId="42FA1A1C" w14:textId="77777777" w:rsidR="00DF19C9" w:rsidRDefault="00DF19C9" w:rsidP="00F2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7DB9" w14:textId="00754D21" w:rsidR="00F27F07" w:rsidRDefault="00436083" w:rsidP="00436083">
    <w:pPr>
      <w:pStyle w:val="Header"/>
    </w:pPr>
    <w:r>
      <w:rPr>
        <w:noProof/>
      </w:rPr>
      <w:drawing>
        <wp:inline distT="0" distB="0" distL="0" distR="0" wp14:anchorId="3649343E" wp14:editId="3165EE4A">
          <wp:extent cx="19888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Pennsylvania_Department_of_Revenue_Logo.svg.png"/>
                  <pic:cNvPicPr/>
                </pic:nvPicPr>
                <pic:blipFill>
                  <a:blip r:embed="rId1">
                    <a:extLst>
                      <a:ext uri="{28A0092B-C50C-407E-A947-70E740481C1C}">
                        <a14:useLocalDpi xmlns:a14="http://schemas.microsoft.com/office/drawing/2010/main" val="0"/>
                      </a:ext>
                    </a:extLst>
                  </a:blip>
                  <a:stretch>
                    <a:fillRect/>
                  </a:stretch>
                </pic:blipFill>
                <pic:spPr>
                  <a:xfrm>
                    <a:off x="0" y="0"/>
                    <a:ext cx="2016960" cy="502301"/>
                  </a:xfrm>
                  <a:prstGeom prst="rect">
                    <a:avLst/>
                  </a:prstGeom>
                </pic:spPr>
              </pic:pic>
            </a:graphicData>
          </a:graphic>
        </wp:inline>
      </w:drawing>
    </w:r>
    <w:r>
      <w:t xml:space="preserve">                                                                                                 </w:t>
    </w:r>
    <w:r>
      <w:rPr>
        <w:noProof/>
      </w:rPr>
      <w:drawing>
        <wp:inline distT="0" distB="0" distL="0" distR="0" wp14:anchorId="09B133BB" wp14:editId="6E1A3E89">
          <wp:extent cx="874581" cy="783750"/>
          <wp:effectExtent l="0" t="0" r="1905" b="0"/>
          <wp:docPr id="3" name="Picture 3" descr="C:\Users\kathy.mcconnell\Desktop\Tax amnes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mcconnell\Desktop\Tax amnest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381" cy="805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14A62"/>
    <w:multiLevelType w:val="hybridMultilevel"/>
    <w:tmpl w:val="72349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23313"/>
    <w:multiLevelType w:val="hybridMultilevel"/>
    <w:tmpl w:val="287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253FF"/>
    <w:multiLevelType w:val="hybridMultilevel"/>
    <w:tmpl w:val="66D6A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533381"/>
    <w:multiLevelType w:val="hybridMultilevel"/>
    <w:tmpl w:val="0CD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A59B8"/>
    <w:multiLevelType w:val="hybridMultilevel"/>
    <w:tmpl w:val="8474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46B71"/>
    <w:multiLevelType w:val="hybridMultilevel"/>
    <w:tmpl w:val="5AA0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07"/>
    <w:rsid w:val="00002F8C"/>
    <w:rsid w:val="0001418A"/>
    <w:rsid w:val="00100B20"/>
    <w:rsid w:val="00141BB1"/>
    <w:rsid w:val="001609B1"/>
    <w:rsid w:val="0016251D"/>
    <w:rsid w:val="00194958"/>
    <w:rsid w:val="001B2F8E"/>
    <w:rsid w:val="001C6828"/>
    <w:rsid w:val="001D7D1F"/>
    <w:rsid w:val="00207E48"/>
    <w:rsid w:val="00216591"/>
    <w:rsid w:val="00217464"/>
    <w:rsid w:val="00226876"/>
    <w:rsid w:val="00235827"/>
    <w:rsid w:val="00261665"/>
    <w:rsid w:val="00264944"/>
    <w:rsid w:val="002D1E4A"/>
    <w:rsid w:val="002D5AC5"/>
    <w:rsid w:val="002E3A04"/>
    <w:rsid w:val="0030446D"/>
    <w:rsid w:val="0033307A"/>
    <w:rsid w:val="0038438F"/>
    <w:rsid w:val="00395D0E"/>
    <w:rsid w:val="003B766D"/>
    <w:rsid w:val="003F3EBF"/>
    <w:rsid w:val="00432A2D"/>
    <w:rsid w:val="00436083"/>
    <w:rsid w:val="004466B4"/>
    <w:rsid w:val="00455B50"/>
    <w:rsid w:val="00464A9A"/>
    <w:rsid w:val="00474379"/>
    <w:rsid w:val="00483003"/>
    <w:rsid w:val="00527042"/>
    <w:rsid w:val="00530447"/>
    <w:rsid w:val="005436A7"/>
    <w:rsid w:val="00552665"/>
    <w:rsid w:val="00560F65"/>
    <w:rsid w:val="00570294"/>
    <w:rsid w:val="0057194D"/>
    <w:rsid w:val="00595239"/>
    <w:rsid w:val="005A0E01"/>
    <w:rsid w:val="005A63D8"/>
    <w:rsid w:val="005F36AB"/>
    <w:rsid w:val="005F7948"/>
    <w:rsid w:val="005F7D38"/>
    <w:rsid w:val="00617745"/>
    <w:rsid w:val="00664085"/>
    <w:rsid w:val="006A44C1"/>
    <w:rsid w:val="006D01D1"/>
    <w:rsid w:val="006F3A49"/>
    <w:rsid w:val="0071457A"/>
    <w:rsid w:val="0074710B"/>
    <w:rsid w:val="00772AAB"/>
    <w:rsid w:val="007829C5"/>
    <w:rsid w:val="007C1F35"/>
    <w:rsid w:val="007F7C83"/>
    <w:rsid w:val="00845C4F"/>
    <w:rsid w:val="00852F6E"/>
    <w:rsid w:val="00863258"/>
    <w:rsid w:val="008974A7"/>
    <w:rsid w:val="008A4CD2"/>
    <w:rsid w:val="0090731A"/>
    <w:rsid w:val="00927249"/>
    <w:rsid w:val="009B08CF"/>
    <w:rsid w:val="009B674C"/>
    <w:rsid w:val="009C162D"/>
    <w:rsid w:val="00A40709"/>
    <w:rsid w:val="00A4510E"/>
    <w:rsid w:val="00A5638B"/>
    <w:rsid w:val="00A90698"/>
    <w:rsid w:val="00AE5EAC"/>
    <w:rsid w:val="00AE5EF8"/>
    <w:rsid w:val="00B0034A"/>
    <w:rsid w:val="00B2667A"/>
    <w:rsid w:val="00B40EE0"/>
    <w:rsid w:val="00B43121"/>
    <w:rsid w:val="00B71B8F"/>
    <w:rsid w:val="00B86402"/>
    <w:rsid w:val="00BE1C27"/>
    <w:rsid w:val="00BE64C9"/>
    <w:rsid w:val="00BF1948"/>
    <w:rsid w:val="00BF569C"/>
    <w:rsid w:val="00C80F77"/>
    <w:rsid w:val="00CC03BC"/>
    <w:rsid w:val="00CD30A5"/>
    <w:rsid w:val="00CD79AB"/>
    <w:rsid w:val="00CE2B80"/>
    <w:rsid w:val="00CF0421"/>
    <w:rsid w:val="00D04F21"/>
    <w:rsid w:val="00D5361C"/>
    <w:rsid w:val="00D53638"/>
    <w:rsid w:val="00D549F2"/>
    <w:rsid w:val="00D8421A"/>
    <w:rsid w:val="00DC1758"/>
    <w:rsid w:val="00DD0F7C"/>
    <w:rsid w:val="00DF19C9"/>
    <w:rsid w:val="00E03150"/>
    <w:rsid w:val="00E04006"/>
    <w:rsid w:val="00E45D4E"/>
    <w:rsid w:val="00E540B6"/>
    <w:rsid w:val="00EA3823"/>
    <w:rsid w:val="00EA69E4"/>
    <w:rsid w:val="00EC1814"/>
    <w:rsid w:val="00ED5C3F"/>
    <w:rsid w:val="00ED744B"/>
    <w:rsid w:val="00F13FD3"/>
    <w:rsid w:val="00F21313"/>
    <w:rsid w:val="00F276DC"/>
    <w:rsid w:val="00F27F07"/>
    <w:rsid w:val="00F32936"/>
    <w:rsid w:val="00F33BCE"/>
    <w:rsid w:val="00F83B97"/>
    <w:rsid w:val="00FC7B31"/>
    <w:rsid w:val="00FD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FBC3E3"/>
  <w15:chartTrackingRefBased/>
  <w15:docId w15:val="{F0EE93AB-6621-463C-9C4D-9CF3BAA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07"/>
    <w:pPr>
      <w:tabs>
        <w:tab w:val="center" w:pos="4680"/>
        <w:tab w:val="right" w:pos="9360"/>
      </w:tabs>
    </w:pPr>
  </w:style>
  <w:style w:type="character" w:customStyle="1" w:styleId="HeaderChar">
    <w:name w:val="Header Char"/>
    <w:basedOn w:val="DefaultParagraphFont"/>
    <w:link w:val="Header"/>
    <w:uiPriority w:val="99"/>
    <w:rsid w:val="00F27F07"/>
  </w:style>
  <w:style w:type="paragraph" w:styleId="Footer">
    <w:name w:val="footer"/>
    <w:basedOn w:val="Normal"/>
    <w:link w:val="FooterChar"/>
    <w:uiPriority w:val="99"/>
    <w:unhideWhenUsed/>
    <w:rsid w:val="00F27F07"/>
    <w:pPr>
      <w:tabs>
        <w:tab w:val="center" w:pos="4680"/>
        <w:tab w:val="right" w:pos="9360"/>
      </w:tabs>
    </w:pPr>
  </w:style>
  <w:style w:type="character" w:customStyle="1" w:styleId="FooterChar">
    <w:name w:val="Footer Char"/>
    <w:basedOn w:val="DefaultParagraphFont"/>
    <w:link w:val="Footer"/>
    <w:uiPriority w:val="99"/>
    <w:rsid w:val="00F27F07"/>
  </w:style>
  <w:style w:type="paragraph" w:styleId="ListParagraph">
    <w:name w:val="List Paragraph"/>
    <w:basedOn w:val="Normal"/>
    <w:uiPriority w:val="34"/>
    <w:qFormat/>
    <w:rsid w:val="00527042"/>
    <w:pPr>
      <w:ind w:left="720"/>
      <w:contextualSpacing/>
    </w:pPr>
  </w:style>
  <w:style w:type="character" w:styleId="Hyperlink">
    <w:name w:val="Hyperlink"/>
    <w:basedOn w:val="DefaultParagraphFont"/>
    <w:uiPriority w:val="99"/>
    <w:unhideWhenUsed/>
    <w:rsid w:val="001609B1"/>
    <w:rPr>
      <w:color w:val="0563C1" w:themeColor="hyperlink"/>
      <w:u w:val="single"/>
    </w:rPr>
  </w:style>
  <w:style w:type="paragraph" w:styleId="NoSpacing">
    <w:name w:val="No Spacing"/>
    <w:uiPriority w:val="1"/>
    <w:qFormat/>
    <w:rsid w:val="00ED744B"/>
    <w:pPr>
      <w:spacing w:after="0" w:line="240" w:lineRule="auto"/>
    </w:pPr>
  </w:style>
  <w:style w:type="character" w:styleId="CommentReference">
    <w:name w:val="annotation reference"/>
    <w:basedOn w:val="DefaultParagraphFont"/>
    <w:uiPriority w:val="99"/>
    <w:semiHidden/>
    <w:unhideWhenUsed/>
    <w:rsid w:val="002D1E4A"/>
    <w:rPr>
      <w:sz w:val="16"/>
      <w:szCs w:val="16"/>
    </w:rPr>
  </w:style>
  <w:style w:type="paragraph" w:styleId="CommentText">
    <w:name w:val="annotation text"/>
    <w:basedOn w:val="Normal"/>
    <w:link w:val="CommentTextChar"/>
    <w:uiPriority w:val="99"/>
    <w:semiHidden/>
    <w:unhideWhenUsed/>
    <w:rsid w:val="002D1E4A"/>
    <w:rPr>
      <w:sz w:val="20"/>
      <w:szCs w:val="20"/>
    </w:rPr>
  </w:style>
  <w:style w:type="character" w:customStyle="1" w:styleId="CommentTextChar">
    <w:name w:val="Comment Text Char"/>
    <w:basedOn w:val="DefaultParagraphFont"/>
    <w:link w:val="CommentText"/>
    <w:uiPriority w:val="99"/>
    <w:semiHidden/>
    <w:rsid w:val="002D1E4A"/>
    <w:rPr>
      <w:sz w:val="20"/>
      <w:szCs w:val="20"/>
    </w:rPr>
  </w:style>
  <w:style w:type="paragraph" w:styleId="CommentSubject">
    <w:name w:val="annotation subject"/>
    <w:basedOn w:val="CommentText"/>
    <w:next w:val="CommentText"/>
    <w:link w:val="CommentSubjectChar"/>
    <w:uiPriority w:val="99"/>
    <w:semiHidden/>
    <w:unhideWhenUsed/>
    <w:rsid w:val="002D1E4A"/>
    <w:rPr>
      <w:b/>
      <w:bCs/>
    </w:rPr>
  </w:style>
  <w:style w:type="character" w:customStyle="1" w:styleId="CommentSubjectChar">
    <w:name w:val="Comment Subject Char"/>
    <w:basedOn w:val="CommentTextChar"/>
    <w:link w:val="CommentSubject"/>
    <w:uiPriority w:val="99"/>
    <w:semiHidden/>
    <w:rsid w:val="002D1E4A"/>
    <w:rPr>
      <w:b/>
      <w:bCs/>
      <w:sz w:val="20"/>
      <w:szCs w:val="20"/>
    </w:rPr>
  </w:style>
  <w:style w:type="paragraph" w:styleId="BalloonText">
    <w:name w:val="Balloon Text"/>
    <w:basedOn w:val="Normal"/>
    <w:link w:val="BalloonTextChar"/>
    <w:uiPriority w:val="99"/>
    <w:semiHidden/>
    <w:unhideWhenUsed/>
    <w:rsid w:val="002D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4A"/>
    <w:rPr>
      <w:rFonts w:ascii="Segoe UI" w:hAnsi="Segoe UI" w:cs="Segoe UI"/>
      <w:sz w:val="18"/>
      <w:szCs w:val="18"/>
    </w:rPr>
  </w:style>
  <w:style w:type="table" w:styleId="TableGrid">
    <w:name w:val="Table Grid"/>
    <w:basedOn w:val="TableNormal"/>
    <w:uiPriority w:val="39"/>
    <w:rsid w:val="0084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9215">
      <w:bodyDiv w:val="1"/>
      <w:marLeft w:val="0"/>
      <w:marRight w:val="0"/>
      <w:marTop w:val="0"/>
      <w:marBottom w:val="0"/>
      <w:divBdr>
        <w:top w:val="none" w:sz="0" w:space="0" w:color="auto"/>
        <w:left w:val="none" w:sz="0" w:space="0" w:color="auto"/>
        <w:bottom w:val="none" w:sz="0" w:space="0" w:color="auto"/>
        <w:right w:val="none" w:sz="0" w:space="0" w:color="auto"/>
      </w:divBdr>
    </w:div>
    <w:div w:id="888685497">
      <w:bodyDiv w:val="1"/>
      <w:marLeft w:val="0"/>
      <w:marRight w:val="0"/>
      <w:marTop w:val="0"/>
      <w:marBottom w:val="0"/>
      <w:divBdr>
        <w:top w:val="none" w:sz="0" w:space="0" w:color="auto"/>
        <w:left w:val="none" w:sz="0" w:space="0" w:color="auto"/>
        <w:bottom w:val="none" w:sz="0" w:space="0" w:color="auto"/>
        <w:right w:val="none" w:sz="0" w:space="0" w:color="auto"/>
      </w:divBdr>
    </w:div>
    <w:div w:id="927471294">
      <w:bodyDiv w:val="1"/>
      <w:marLeft w:val="0"/>
      <w:marRight w:val="0"/>
      <w:marTop w:val="0"/>
      <w:marBottom w:val="0"/>
      <w:divBdr>
        <w:top w:val="none" w:sz="0" w:space="0" w:color="auto"/>
        <w:left w:val="none" w:sz="0" w:space="0" w:color="auto"/>
        <w:bottom w:val="none" w:sz="0" w:space="0" w:color="auto"/>
        <w:right w:val="none" w:sz="0" w:space="0" w:color="auto"/>
      </w:divBdr>
    </w:div>
    <w:div w:id="1196697945">
      <w:bodyDiv w:val="1"/>
      <w:marLeft w:val="0"/>
      <w:marRight w:val="0"/>
      <w:marTop w:val="0"/>
      <w:marBottom w:val="0"/>
      <w:divBdr>
        <w:top w:val="none" w:sz="0" w:space="0" w:color="auto"/>
        <w:left w:val="none" w:sz="0" w:space="0" w:color="auto"/>
        <w:bottom w:val="none" w:sz="0" w:space="0" w:color="auto"/>
        <w:right w:val="none" w:sz="0" w:space="0" w:color="auto"/>
      </w:divBdr>
    </w:div>
    <w:div w:id="1264269332">
      <w:bodyDiv w:val="1"/>
      <w:marLeft w:val="0"/>
      <w:marRight w:val="0"/>
      <w:marTop w:val="0"/>
      <w:marBottom w:val="0"/>
      <w:divBdr>
        <w:top w:val="none" w:sz="0" w:space="0" w:color="auto"/>
        <w:left w:val="none" w:sz="0" w:space="0" w:color="auto"/>
        <w:bottom w:val="none" w:sz="0" w:space="0" w:color="auto"/>
        <w:right w:val="none" w:sz="0" w:space="0" w:color="auto"/>
      </w:divBdr>
    </w:div>
    <w:div w:id="1810973474">
      <w:bodyDiv w:val="1"/>
      <w:marLeft w:val="0"/>
      <w:marRight w:val="0"/>
      <w:marTop w:val="0"/>
      <w:marBottom w:val="0"/>
      <w:divBdr>
        <w:top w:val="none" w:sz="0" w:space="0" w:color="auto"/>
        <w:left w:val="none" w:sz="0" w:space="0" w:color="auto"/>
        <w:bottom w:val="none" w:sz="0" w:space="0" w:color="auto"/>
        <w:right w:val="none" w:sz="0" w:space="0" w:color="auto"/>
      </w:divBdr>
    </w:div>
    <w:div w:id="21157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edia.pa.gov/Pages/Revenue-Details.aspx?newsid=1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RVAMNESTY@pa.gov" TargetMode="External"/><Relationship Id="rId4" Type="http://schemas.openxmlformats.org/officeDocument/2006/relationships/settings" Target="settings.xml"/><Relationship Id="rId9" Type="http://schemas.openxmlformats.org/officeDocument/2006/relationships/hyperlink" Target="mailto:RA-RVAMNESTY@p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cktax.p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501E-6D4D-41FB-8046-A6382145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Kathy (PHI-TNC)</dc:creator>
  <cp:keywords/>
  <dc:description/>
  <cp:lastModifiedBy>Hensil, Kevin</cp:lastModifiedBy>
  <cp:revision>2</cp:revision>
  <cp:lastPrinted>2017-04-24T16:32:00Z</cp:lastPrinted>
  <dcterms:created xsi:type="dcterms:W3CDTF">2017-05-17T18:38:00Z</dcterms:created>
  <dcterms:modified xsi:type="dcterms:W3CDTF">2017-05-17T18:38:00Z</dcterms:modified>
</cp:coreProperties>
</file>