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17" w:rsidRDefault="002B6E93" w:rsidP="00635217">
      <w:pPr>
        <w:spacing w:before="2" w:after="0" w:line="120" w:lineRule="exact"/>
        <w:rPr>
          <w:sz w:val="12"/>
          <w:szCs w:val="12"/>
        </w:rPr>
      </w:pPr>
      <w:r w:rsidRPr="002B6E93">
        <w:rPr>
          <w:noProof/>
        </w:rPr>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7" o:title=""/>
              </v:shape>
            </v:group>
            <w10:wrap anchorx="page" anchory="page"/>
          </v:group>
        </w:pic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Pr="00DD3B6E" w:rsidRDefault="00635217" w:rsidP="00635217">
      <w:pPr>
        <w:spacing w:before="21" w:after="0" w:line="240" w:lineRule="auto"/>
        <w:ind w:left="3960" w:right="3600"/>
        <w:jc w:val="center"/>
        <w:rPr>
          <w:rFonts w:ascii="Verdana" w:eastAsia="Verdana" w:hAnsi="Verdana" w:cs="Verdana"/>
        </w:rPr>
      </w:pPr>
      <w:r w:rsidRPr="00DD3B6E">
        <w:rPr>
          <w:rFonts w:ascii="Verdana" w:eastAsia="Verdana" w:hAnsi="Verdana" w:cs="Verdana"/>
          <w:spacing w:val="-2"/>
        </w:rPr>
        <w:t>Wee</w:t>
      </w:r>
      <w:r w:rsidRPr="00DD3B6E">
        <w:rPr>
          <w:rFonts w:ascii="Verdana" w:eastAsia="Verdana" w:hAnsi="Verdana" w:cs="Verdana"/>
        </w:rPr>
        <w:t>k</w:t>
      </w:r>
      <w:r>
        <w:rPr>
          <w:rFonts w:ascii="Verdana" w:eastAsia="Verdana" w:hAnsi="Verdana" w:cs="Verdana"/>
        </w:rPr>
        <w:t xml:space="preserve"> of </w:t>
      </w:r>
      <w:r w:rsidR="00BE27E7">
        <w:rPr>
          <w:rFonts w:ascii="Verdana" w:eastAsia="Verdana" w:hAnsi="Verdana" w:cs="Verdana"/>
        </w:rPr>
        <w:t>December 5</w:t>
      </w:r>
      <w:r>
        <w:rPr>
          <w:rFonts w:ascii="Verdana" w:eastAsia="Verdana" w:hAnsi="Verdana" w:cs="Verdana"/>
        </w:rPr>
        <w:t>, 2</w:t>
      </w:r>
      <w:r w:rsidRPr="00DD3B6E">
        <w:rPr>
          <w:rFonts w:ascii="Verdana" w:eastAsia="Verdana" w:hAnsi="Verdana" w:cs="Verdana"/>
          <w:spacing w:val="-1"/>
        </w:rPr>
        <w:t>01</w:t>
      </w:r>
      <w:r w:rsidRPr="00DD3B6E">
        <w:rPr>
          <w:rFonts w:ascii="Verdana" w:eastAsia="Verdana" w:hAnsi="Verdana" w:cs="Verdana"/>
        </w:rPr>
        <w:t>6</w:t>
      </w:r>
    </w:p>
    <w:p w:rsidR="00635217" w:rsidRDefault="00635217" w:rsidP="00635217">
      <w:pPr>
        <w:spacing w:before="21" w:after="0" w:line="240" w:lineRule="auto"/>
        <w:ind w:left="4107" w:right="4107"/>
        <w:jc w:val="center"/>
        <w:rPr>
          <w:rFonts w:ascii="Verdana" w:eastAsia="Verdana" w:hAnsi="Verdana" w:cs="Verdana"/>
          <w:b/>
          <w:bCs/>
          <w:position w:val="-2"/>
          <w:sz w:val="24"/>
          <w:szCs w:val="24"/>
          <w:u w:val="thick" w:color="000000"/>
        </w:rPr>
      </w:pPr>
      <w:r w:rsidRPr="00DD3B6E">
        <w:rPr>
          <w:rFonts w:ascii="Verdana" w:eastAsia="Verdana" w:hAnsi="Verdana" w:cs="Verdana"/>
          <w:b/>
          <w:bCs/>
          <w:position w:val="-2"/>
          <w:sz w:val="24"/>
          <w:szCs w:val="24"/>
          <w:u w:val="thick" w:color="000000"/>
        </w:rPr>
        <w:t>HE</w:t>
      </w:r>
      <w:r w:rsidRPr="00DD3B6E">
        <w:rPr>
          <w:rFonts w:ascii="Verdana" w:eastAsia="Verdana" w:hAnsi="Verdana" w:cs="Verdana"/>
          <w:b/>
          <w:bCs/>
          <w:spacing w:val="1"/>
          <w:position w:val="-2"/>
          <w:sz w:val="24"/>
          <w:szCs w:val="24"/>
          <w:u w:val="thick" w:color="000000"/>
        </w:rPr>
        <w:t>A</w:t>
      </w:r>
      <w:r w:rsidRPr="00DD3B6E">
        <w:rPr>
          <w:rFonts w:ascii="Verdana" w:eastAsia="Verdana" w:hAnsi="Verdana" w:cs="Verdana"/>
          <w:b/>
          <w:bCs/>
          <w:spacing w:val="2"/>
          <w:position w:val="-2"/>
          <w:sz w:val="24"/>
          <w:szCs w:val="24"/>
          <w:u w:val="thick" w:color="000000"/>
        </w:rPr>
        <w:t>D</w:t>
      </w:r>
      <w:r w:rsidRPr="00DD3B6E">
        <w:rPr>
          <w:rFonts w:ascii="Verdana" w:eastAsia="Verdana" w:hAnsi="Verdana" w:cs="Verdana"/>
          <w:b/>
          <w:bCs/>
          <w:position w:val="-2"/>
          <w:sz w:val="24"/>
          <w:szCs w:val="24"/>
          <w:u w:val="thick" w:color="000000"/>
        </w:rPr>
        <w:t>L</w:t>
      </w:r>
      <w:r w:rsidRPr="00DD3B6E">
        <w:rPr>
          <w:rFonts w:ascii="Verdana" w:eastAsia="Verdana" w:hAnsi="Verdana" w:cs="Verdana"/>
          <w:b/>
          <w:bCs/>
          <w:spacing w:val="-1"/>
          <w:w w:val="99"/>
          <w:position w:val="-2"/>
          <w:sz w:val="24"/>
          <w:szCs w:val="24"/>
          <w:u w:val="thick" w:color="000000"/>
        </w:rPr>
        <w:t>I</w:t>
      </w:r>
      <w:r w:rsidRPr="00DD3B6E">
        <w:rPr>
          <w:rFonts w:ascii="Verdana" w:eastAsia="Verdana" w:hAnsi="Verdana" w:cs="Verdana"/>
          <w:b/>
          <w:bCs/>
          <w:spacing w:val="-2"/>
          <w:w w:val="99"/>
          <w:position w:val="-2"/>
          <w:sz w:val="24"/>
          <w:szCs w:val="24"/>
          <w:u w:val="thick" w:color="000000"/>
        </w:rPr>
        <w:t>N</w:t>
      </w:r>
      <w:r w:rsidRPr="00DD3B6E">
        <w:rPr>
          <w:rFonts w:ascii="Verdana" w:eastAsia="Verdana" w:hAnsi="Verdana" w:cs="Verdana"/>
          <w:b/>
          <w:bCs/>
          <w:spacing w:val="-1"/>
          <w:position w:val="-2"/>
          <w:sz w:val="24"/>
          <w:szCs w:val="24"/>
          <w:u w:val="thick" w:color="000000"/>
        </w:rPr>
        <w:t>E</w:t>
      </w:r>
      <w:r w:rsidRPr="00DD3B6E">
        <w:rPr>
          <w:rFonts w:ascii="Verdana" w:eastAsia="Verdana" w:hAnsi="Verdana" w:cs="Verdana"/>
          <w:b/>
          <w:bCs/>
          <w:position w:val="-2"/>
          <w:sz w:val="24"/>
          <w:szCs w:val="24"/>
          <w:u w:val="thick" w:color="000000"/>
        </w:rPr>
        <w:t>S</w:t>
      </w:r>
    </w:p>
    <w:p w:rsidR="00BE27E7" w:rsidRPr="00BE27E7" w:rsidRDefault="00BE27E7" w:rsidP="00BE27E7">
      <w:pPr>
        <w:pStyle w:val="NoSpacing"/>
        <w:rPr>
          <w:rFonts w:ascii="Verdana" w:hAnsi="Verdana"/>
          <w:b/>
          <w:caps/>
          <w:sz w:val="22"/>
          <w:szCs w:val="20"/>
          <w:u w:val="thick"/>
        </w:rPr>
      </w:pPr>
      <w:r w:rsidRPr="00BE27E7">
        <w:rPr>
          <w:rFonts w:ascii="Verdana" w:hAnsi="Verdana"/>
          <w:b/>
          <w:caps/>
          <w:sz w:val="22"/>
          <w:szCs w:val="20"/>
          <w:u w:val="thick"/>
        </w:rPr>
        <w:t>November General Fund revenue lags behind estimates</w:t>
      </w:r>
    </w:p>
    <w:p w:rsidR="00BE27E7" w:rsidRPr="00BE27E7" w:rsidRDefault="00BE27E7" w:rsidP="00BE27E7">
      <w:pPr>
        <w:pStyle w:val="NoSpacing"/>
        <w:rPr>
          <w:rFonts w:ascii="Verdana" w:hAnsi="Verdana"/>
          <w:sz w:val="20"/>
          <w:szCs w:val="20"/>
        </w:rPr>
      </w:pPr>
      <w:r w:rsidRPr="00BE27E7">
        <w:rPr>
          <w:rFonts w:ascii="Verdana" w:hAnsi="Verdana"/>
          <w:color w:val="000000"/>
          <w:sz w:val="20"/>
          <w:szCs w:val="20"/>
          <w:bdr w:val="none" w:sz="0" w:space="0" w:color="auto" w:frame="1"/>
        </w:rPr>
        <w:t>The Department of Revenue and Independent Fiscal Office released revenue figures for November General Fund collections, with the department noting that revenue sources from every major category came in underestimate for the penultimate month in calendar year 2016.</w:t>
      </w:r>
      <w:r w:rsidRPr="00BE27E7">
        <w:rPr>
          <w:rFonts w:ascii="Verdana" w:hAnsi="Verdana"/>
          <w:sz w:val="20"/>
          <w:szCs w:val="20"/>
        </w:rPr>
        <w:t xml:space="preserve"> </w:t>
      </w:r>
      <w:r w:rsidRPr="00BE27E7">
        <w:rPr>
          <w:rFonts w:ascii="Verdana" w:hAnsi="Verdana"/>
          <w:color w:val="000000"/>
          <w:sz w:val="20"/>
          <w:szCs w:val="20"/>
          <w:bdr w:val="none" w:sz="0" w:space="0" w:color="auto" w:frame="1"/>
        </w:rPr>
        <w:t>November’s numbers signify the fourth out of five months in the current fiscal year where overall revenue collections have come in under estimate.</w:t>
      </w:r>
      <w:r w:rsidRPr="00BE27E7">
        <w:rPr>
          <w:rFonts w:ascii="Verdana" w:hAnsi="Verdana"/>
          <w:sz w:val="20"/>
          <w:szCs w:val="20"/>
        </w:rPr>
        <w:t xml:space="preserve"> </w:t>
      </w:r>
      <w:r w:rsidRPr="00BE27E7">
        <w:rPr>
          <w:rFonts w:ascii="Verdana" w:hAnsi="Verdana"/>
          <w:color w:val="000000"/>
          <w:sz w:val="20"/>
          <w:szCs w:val="20"/>
          <w:bdr w:val="none" w:sz="0" w:space="0" w:color="auto" w:frame="1"/>
        </w:rPr>
        <w:t>In total for the month, the Commonwealth collected $2 billion in General Fund revenue, which was $79.5 million, or 3.8 percent, under estimate.</w:t>
      </w:r>
      <w:r w:rsidRPr="00BE27E7">
        <w:rPr>
          <w:rFonts w:ascii="Verdana" w:hAnsi="Verdana"/>
          <w:sz w:val="20"/>
          <w:szCs w:val="20"/>
        </w:rPr>
        <w:t xml:space="preserve"> </w:t>
      </w:r>
      <w:r w:rsidRPr="00BE27E7">
        <w:rPr>
          <w:rFonts w:ascii="Verdana" w:hAnsi="Verdana"/>
          <w:color w:val="000000"/>
          <w:sz w:val="20"/>
          <w:szCs w:val="20"/>
          <w:bdr w:val="none" w:sz="0" w:space="0" w:color="auto" w:frame="1"/>
        </w:rPr>
        <w:t>For the Fiscal-Year-to-Date, the Commonwealth has collected $10.8 billion, which is $261.8 million, or 2.4 percent, below estimate.</w:t>
      </w:r>
      <w:r w:rsidRPr="00BE27E7">
        <w:rPr>
          <w:rFonts w:ascii="Verdana" w:hAnsi="Verdana"/>
          <w:sz w:val="20"/>
          <w:szCs w:val="20"/>
        </w:rPr>
        <w:t xml:space="preserve"> </w:t>
      </w:r>
      <w:r w:rsidRPr="00BE27E7">
        <w:rPr>
          <w:rFonts w:ascii="Verdana" w:hAnsi="Verdana"/>
          <w:color w:val="000000"/>
          <w:sz w:val="20"/>
          <w:szCs w:val="20"/>
          <w:bdr w:val="none" w:sz="0" w:space="0" w:color="auto" w:frame="1"/>
        </w:rPr>
        <w:t>Revenue for the month of November was below estimate in areas of personal income tax, sales tax, corporate tax, realty transfer tax, inheritance tax, and other General Fund sources of revenue like tobacco and gaming.</w:t>
      </w:r>
      <w:r w:rsidRPr="00BE27E7">
        <w:rPr>
          <w:rFonts w:ascii="Verdana" w:hAnsi="Verdana"/>
          <w:sz w:val="20"/>
          <w:szCs w:val="20"/>
        </w:rPr>
        <w:t xml:space="preserve"> </w:t>
      </w:r>
      <w:r w:rsidRPr="00BE27E7">
        <w:rPr>
          <w:rFonts w:ascii="Verdana" w:hAnsi="Verdana"/>
          <w:color w:val="000000"/>
          <w:sz w:val="20"/>
          <w:szCs w:val="20"/>
          <w:bdr w:val="none" w:sz="0" w:space="0" w:color="auto" w:frame="1"/>
        </w:rPr>
        <w:t>As a standout, the department noted non-tax revenue “totaled $46.5 million for the month, $49.5 million above estimate, bringing the year-to-date total to $109.7 million, which is $49.1 million, or 81.1 percent, above estimate.”</w:t>
      </w:r>
      <w:r w:rsidRPr="00BE27E7">
        <w:rPr>
          <w:rFonts w:ascii="Verdana" w:hAnsi="Verdana"/>
          <w:sz w:val="20"/>
          <w:szCs w:val="20"/>
        </w:rPr>
        <w:t xml:space="preserve"> </w:t>
      </w:r>
      <w:r w:rsidRPr="00BE27E7">
        <w:rPr>
          <w:rFonts w:ascii="Verdana" w:hAnsi="Verdana"/>
          <w:color w:val="000000"/>
          <w:sz w:val="20"/>
          <w:szCs w:val="20"/>
          <w:bdr w:val="none" w:sz="0" w:space="0" w:color="auto" w:frame="1"/>
        </w:rPr>
        <w:t>For revenue categories reported, the Independent Fiscal Office noted similar income amounts, but compared the data to last year’s numbers noting that collections have increased compared to last year.</w:t>
      </w:r>
      <w:r w:rsidRPr="00BE27E7">
        <w:rPr>
          <w:rFonts w:ascii="Verdana" w:hAnsi="Verdana"/>
          <w:sz w:val="20"/>
          <w:szCs w:val="20"/>
        </w:rPr>
        <w:t xml:space="preserve"> </w:t>
      </w:r>
      <w:r w:rsidRPr="00BE27E7">
        <w:rPr>
          <w:rFonts w:ascii="Verdana" w:hAnsi="Verdana"/>
          <w:color w:val="000000"/>
          <w:sz w:val="20"/>
          <w:szCs w:val="20"/>
          <w:bdr w:val="none" w:sz="0" w:space="0" w:color="auto" w:frame="1"/>
        </w:rPr>
        <w:t>In November, the IFO released its five-year economic and revenue outlook wherein it forecasted a budget deficit of more than $500 million for the current fiscal year and a $1.7 billion deficit for the coming fiscal year.</w:t>
      </w:r>
      <w:r w:rsidRPr="00BE27E7">
        <w:rPr>
          <w:rFonts w:ascii="Verdana" w:hAnsi="Verdana"/>
          <w:sz w:val="20"/>
          <w:szCs w:val="20"/>
        </w:rPr>
        <w:t xml:space="preserve"> </w:t>
      </w:r>
      <w:r w:rsidRPr="00BE27E7">
        <w:rPr>
          <w:rFonts w:ascii="Verdana" w:hAnsi="Verdana"/>
          <w:color w:val="000000"/>
          <w:sz w:val="20"/>
          <w:szCs w:val="20"/>
          <w:bdr w:val="none" w:sz="0" w:space="0" w:color="auto" w:frame="1"/>
        </w:rPr>
        <w:t>Both forecasts will likely mean challenges the legislature will have to embrace when they return to session in January.</w:t>
      </w:r>
    </w:p>
    <w:p w:rsidR="00686F92" w:rsidRPr="00686F92" w:rsidRDefault="00686F92" w:rsidP="00686F92">
      <w:pPr>
        <w:pStyle w:val="NoSpacing"/>
        <w:rPr>
          <w:rFonts w:ascii="Verdana" w:hAnsi="Verdana"/>
          <w:b/>
          <w:caps/>
          <w:sz w:val="22"/>
          <w:szCs w:val="22"/>
          <w:u w:val="thick"/>
        </w:rPr>
      </w:pPr>
      <w:r w:rsidRPr="00686F92">
        <w:rPr>
          <w:rFonts w:ascii="Verdana" w:hAnsi="Verdana"/>
          <w:b/>
          <w:caps/>
          <w:sz w:val="22"/>
          <w:szCs w:val="22"/>
          <w:u w:val="thick"/>
        </w:rPr>
        <w:t>Auditor General DePasquale Says Gas Drilling Impact Fee Law Must Be Amended to Clarify Spending Guidelines, Improve Oversight</w:t>
      </w:r>
    </w:p>
    <w:p w:rsidR="00686F92" w:rsidRPr="00686F92" w:rsidRDefault="00686F92" w:rsidP="00686F92">
      <w:pPr>
        <w:pStyle w:val="NoSpacing"/>
        <w:rPr>
          <w:rFonts w:ascii="Verdana" w:hAnsi="Verdana"/>
          <w:sz w:val="20"/>
          <w:szCs w:val="22"/>
        </w:rPr>
      </w:pPr>
      <w:r w:rsidRPr="00686F92">
        <w:rPr>
          <w:rFonts w:ascii="Verdana" w:hAnsi="Verdana"/>
          <w:sz w:val="20"/>
          <w:szCs w:val="22"/>
        </w:rPr>
        <w:t xml:space="preserve">Auditor General Eugene </w:t>
      </w:r>
      <w:proofErr w:type="spellStart"/>
      <w:r w:rsidRPr="00686F92">
        <w:rPr>
          <w:rFonts w:ascii="Verdana" w:hAnsi="Verdana"/>
          <w:sz w:val="20"/>
          <w:szCs w:val="22"/>
        </w:rPr>
        <w:t>DePasquale</w:t>
      </w:r>
      <w:proofErr w:type="spellEnd"/>
      <w:r w:rsidRPr="00686F92">
        <w:rPr>
          <w:rFonts w:ascii="Verdana" w:hAnsi="Verdana"/>
          <w:sz w:val="20"/>
          <w:szCs w:val="22"/>
        </w:rPr>
        <w:t xml:space="preserve"> said a recent audit of the Public Utility Commission’s (PUC) oversight of a fund to help alleviate the negative local effects of natural gas drilling demonstrates the need to correct the authorizing law’s vague spending guidelines, poor reporting requirements, and lack of state oversight. The impact fees are intended to be used to alleviate negative effects of drilling on local communities such as gas and </w:t>
      </w:r>
      <w:proofErr w:type="spellStart"/>
      <w:r w:rsidRPr="00686F92">
        <w:rPr>
          <w:rFonts w:ascii="Verdana" w:hAnsi="Verdana"/>
          <w:sz w:val="20"/>
          <w:szCs w:val="22"/>
        </w:rPr>
        <w:t>fracking</w:t>
      </w:r>
      <w:proofErr w:type="spellEnd"/>
      <w:r w:rsidRPr="00686F92">
        <w:rPr>
          <w:rFonts w:ascii="Verdana" w:hAnsi="Verdana"/>
          <w:sz w:val="20"/>
          <w:szCs w:val="22"/>
        </w:rPr>
        <w:t xml:space="preserve"> fluids migrating into water wells, repairing roads and bridges damaged by trucks and heavy equipment, and loss of recreational space. Since enactment of Act 13 of 2012 through 2015, the PUC has collected approximately $856 million in the so-called impact fees, including $160.3 million distributed to counties and $267.6 million distributed to municipalities.  </w:t>
      </w:r>
      <w:proofErr w:type="spellStart"/>
      <w:r w:rsidRPr="00686F92">
        <w:rPr>
          <w:rFonts w:ascii="Verdana" w:hAnsi="Verdana"/>
          <w:sz w:val="20"/>
          <w:szCs w:val="22"/>
        </w:rPr>
        <w:t>DePasquale</w:t>
      </w:r>
      <w:proofErr w:type="spellEnd"/>
      <w:r w:rsidRPr="00686F92">
        <w:rPr>
          <w:rFonts w:ascii="Verdana" w:hAnsi="Verdana"/>
          <w:sz w:val="20"/>
          <w:szCs w:val="22"/>
        </w:rPr>
        <w:t xml:space="preserve"> found that these funds were being used inappropriately by counties and municipalities. He recommended giving authority for oversight of these funds to the Department of Community and Economic Development or the Commonwealth Finance Authority because they have experience overseeing grant distribution. </w:t>
      </w:r>
    </w:p>
    <w:p w:rsidR="005B0EFA" w:rsidRPr="005B0EFA" w:rsidRDefault="005B0EFA" w:rsidP="005B0EFA">
      <w:pPr>
        <w:pStyle w:val="NoSpacing"/>
        <w:rPr>
          <w:rFonts w:ascii="Verdana" w:hAnsi="Verdana"/>
          <w:b/>
          <w:caps/>
          <w:sz w:val="22"/>
          <w:u w:val="thick"/>
        </w:rPr>
      </w:pPr>
      <w:r w:rsidRPr="005B0EFA">
        <w:rPr>
          <w:rFonts w:ascii="Verdana" w:hAnsi="Verdana"/>
          <w:b/>
          <w:caps/>
          <w:sz w:val="22"/>
          <w:u w:val="thick"/>
        </w:rPr>
        <w:t xml:space="preserve">Auditor General DePasquale Issues Statement on Requests for Audit of Labor &amp; Industry Fund </w:t>
      </w:r>
    </w:p>
    <w:p w:rsidR="007507A2" w:rsidRDefault="007507A2" w:rsidP="00620FCF">
      <w:pPr>
        <w:pStyle w:val="NoSpacing"/>
        <w:rPr>
          <w:rFonts w:ascii="Verdana" w:hAnsi="Verdana"/>
          <w:b/>
          <w:sz w:val="22"/>
          <w:u w:val="thick"/>
        </w:rPr>
      </w:pPr>
      <w:r w:rsidRPr="007507A2">
        <w:rPr>
          <w:rFonts w:ascii="Verdana" w:hAnsi="Verdana" w:cs="Arial"/>
          <w:color w:val="000000"/>
          <w:sz w:val="20"/>
          <w:szCs w:val="20"/>
          <w:shd w:val="clear" w:color="auto" w:fill="F8F9FB"/>
        </w:rPr>
        <w:t xml:space="preserve">After receiving a number of requests from legislators to conduct a financial and performance audit of the unemployment compensation system in Pennsylvania, Auditor General Eugene </w:t>
      </w:r>
      <w:proofErr w:type="spellStart"/>
      <w:r w:rsidRPr="007507A2">
        <w:rPr>
          <w:rFonts w:ascii="Verdana" w:hAnsi="Verdana" w:cs="Arial"/>
          <w:color w:val="000000"/>
          <w:sz w:val="20"/>
          <w:szCs w:val="20"/>
          <w:shd w:val="clear" w:color="auto" w:fill="F8F9FB"/>
        </w:rPr>
        <w:t>DePasquale</w:t>
      </w:r>
      <w:proofErr w:type="spellEnd"/>
      <w:r w:rsidRPr="007507A2">
        <w:rPr>
          <w:rFonts w:ascii="Verdana" w:hAnsi="Verdana" w:cs="Arial"/>
          <w:color w:val="000000"/>
          <w:sz w:val="20"/>
          <w:szCs w:val="20"/>
          <w:shd w:val="clear" w:color="auto" w:fill="F8F9FB"/>
        </w:rPr>
        <w:t xml:space="preserve"> announced Wednesday that he will defer making a final decision as to whether to pursue an audit until January.</w:t>
      </w:r>
      <w:r w:rsidRPr="00620FCF">
        <w:rPr>
          <w:rFonts w:ascii="Verdana" w:hAnsi="Verdana"/>
          <w:b/>
          <w:sz w:val="22"/>
          <w:u w:val="thick"/>
        </w:rPr>
        <w:t xml:space="preserve"> </w:t>
      </w:r>
    </w:p>
    <w:p w:rsidR="00620FCF" w:rsidRPr="00620FCF" w:rsidRDefault="00620FCF" w:rsidP="00620FCF">
      <w:pPr>
        <w:pStyle w:val="NoSpacing"/>
        <w:rPr>
          <w:rFonts w:ascii="Verdana" w:hAnsi="Verdana"/>
          <w:b/>
          <w:sz w:val="22"/>
          <w:u w:val="thick"/>
        </w:rPr>
      </w:pPr>
      <w:r w:rsidRPr="00620FCF">
        <w:rPr>
          <w:rFonts w:ascii="Verdana" w:hAnsi="Verdana"/>
          <w:b/>
          <w:sz w:val="22"/>
          <w:u w:val="thick"/>
        </w:rPr>
        <w:t>INHERITANCE TAX LEGISLATION</w:t>
      </w:r>
    </w:p>
    <w:p w:rsidR="00186D31" w:rsidRDefault="00620FCF" w:rsidP="00186D31">
      <w:pPr>
        <w:pStyle w:val="NoSpacing"/>
        <w:rPr>
          <w:rFonts w:ascii="Verdana" w:hAnsi="Verdana"/>
          <w:sz w:val="20"/>
        </w:rPr>
      </w:pPr>
      <w:r w:rsidRPr="00620FCF">
        <w:rPr>
          <w:rFonts w:ascii="Verdana" w:hAnsi="Verdana"/>
          <w:sz w:val="20"/>
        </w:rPr>
        <w:t xml:space="preserve">Senator Michele Brooks </w:t>
      </w:r>
      <w:r w:rsidR="00490CD7">
        <w:rPr>
          <w:rFonts w:ascii="Verdana" w:hAnsi="Verdana"/>
          <w:sz w:val="20"/>
        </w:rPr>
        <w:t>introduced co-sponsorship memorandum for legislation</w:t>
      </w:r>
      <w:r w:rsidRPr="00620FCF">
        <w:rPr>
          <w:rFonts w:ascii="Verdana" w:hAnsi="Verdana"/>
          <w:sz w:val="20"/>
        </w:rPr>
        <w:t xml:space="preserve"> to phase-out inheritance tax </w:t>
      </w:r>
      <w:r w:rsidR="004B08D2">
        <w:rPr>
          <w:rFonts w:ascii="Verdana" w:hAnsi="Verdana"/>
          <w:sz w:val="20"/>
        </w:rPr>
        <w:t>for siblings</w:t>
      </w:r>
      <w:r w:rsidRPr="00620FCF">
        <w:rPr>
          <w:rFonts w:ascii="Verdana" w:hAnsi="Verdana"/>
          <w:sz w:val="20"/>
        </w:rPr>
        <w:t xml:space="preserve"> a</w:t>
      </w:r>
      <w:r w:rsidR="00C61781">
        <w:rPr>
          <w:rFonts w:ascii="Verdana" w:hAnsi="Verdana"/>
          <w:sz w:val="20"/>
        </w:rPr>
        <w:t>s well as a more comprehensive bill</w:t>
      </w:r>
      <w:r w:rsidRPr="00620FCF">
        <w:rPr>
          <w:rFonts w:ascii="Verdana" w:hAnsi="Verdana"/>
          <w:sz w:val="20"/>
        </w:rPr>
        <w:t xml:space="preserve"> to eliminate the 4.5 percent lineal inheritance tax rate over a ten year period. Senator Pat Stefano and Representative Carl </w:t>
      </w:r>
      <w:proofErr w:type="spellStart"/>
      <w:r w:rsidRPr="00620FCF">
        <w:rPr>
          <w:rFonts w:ascii="Verdana" w:hAnsi="Verdana"/>
          <w:sz w:val="20"/>
        </w:rPr>
        <w:t>Metzgar</w:t>
      </w:r>
      <w:proofErr w:type="spellEnd"/>
      <w:r w:rsidRPr="00620FCF">
        <w:rPr>
          <w:rFonts w:ascii="Verdana" w:hAnsi="Verdana"/>
          <w:sz w:val="20"/>
        </w:rPr>
        <w:t xml:space="preserve"> introduced co-sponsorship memorand</w:t>
      </w:r>
      <w:r w:rsidR="004B08D2">
        <w:rPr>
          <w:rFonts w:ascii="Verdana" w:hAnsi="Verdana"/>
          <w:sz w:val="20"/>
        </w:rPr>
        <w:t>a</w:t>
      </w:r>
      <w:r w:rsidRPr="00620FCF">
        <w:rPr>
          <w:rFonts w:ascii="Verdana" w:hAnsi="Verdana"/>
          <w:sz w:val="20"/>
        </w:rPr>
        <w:t xml:space="preserve"> for legislation to eliminate the inheritance tax for children of the deceased age 21 and under. </w:t>
      </w:r>
    </w:p>
    <w:p w:rsidR="00490CD7" w:rsidRDefault="00490CD7" w:rsidP="00186D31">
      <w:pPr>
        <w:pStyle w:val="NoSpacing"/>
        <w:rPr>
          <w:rFonts w:ascii="Verdana" w:hAnsi="Verdana"/>
          <w:b/>
          <w:bCs/>
          <w:caps/>
          <w:sz w:val="22"/>
          <w:szCs w:val="20"/>
          <w:u w:val="thick"/>
        </w:rPr>
      </w:pPr>
    </w:p>
    <w:p w:rsidR="000518A3" w:rsidRPr="00186D31" w:rsidRDefault="000518A3" w:rsidP="00186D31">
      <w:pPr>
        <w:pStyle w:val="NoSpacing"/>
        <w:rPr>
          <w:rFonts w:ascii="Verdana" w:hAnsi="Verdana"/>
          <w:b/>
          <w:sz w:val="20"/>
        </w:rPr>
      </w:pPr>
      <w:r w:rsidRPr="00186D31">
        <w:rPr>
          <w:rFonts w:ascii="Verdana" w:hAnsi="Verdana"/>
          <w:b/>
          <w:bCs/>
          <w:caps/>
          <w:sz w:val="22"/>
          <w:szCs w:val="20"/>
          <w:u w:val="thick"/>
        </w:rPr>
        <w:lastRenderedPageBreak/>
        <w:t>Workzone: Job-related expense deductions get a hard look in Pa</w:t>
      </w:r>
    </w:p>
    <w:p w:rsidR="005B0EFA" w:rsidRPr="00C61781" w:rsidRDefault="000518A3" w:rsidP="00BE27E7">
      <w:pPr>
        <w:pStyle w:val="NoSpacing"/>
        <w:rPr>
          <w:rFonts w:ascii="Verdana" w:hAnsi="Verdana"/>
          <w:sz w:val="20"/>
          <w:szCs w:val="20"/>
        </w:rPr>
      </w:pPr>
      <w:r w:rsidRPr="000518A3">
        <w:rPr>
          <w:rFonts w:ascii="Verdana" w:hAnsi="Verdana"/>
          <w:sz w:val="20"/>
          <w:szCs w:val="20"/>
        </w:rPr>
        <w:t>Pennsylvania tax reviewers have been giving extra scrutiny to claimed unreimbursed employee expenses on state income tax filings as part of an initiative to root out intentional or accidental misreporting in recent years. Taxpayers taking deductions for expenses that their jobs require but that their employers don’t pay for — like union dues, travel costs, equipment purchases, continuing education or uniforms — are now more likely to get a letter from the state seeking documentation to prove the deductions are necessary. The department</w:t>
      </w:r>
      <w:r w:rsidRPr="000518A3">
        <w:rPr>
          <w:rStyle w:val="apple-converted-space"/>
          <w:rFonts w:ascii="Verdana" w:hAnsi="Verdana"/>
          <w:spacing w:val="-2"/>
          <w:sz w:val="20"/>
          <w:szCs w:val="20"/>
        </w:rPr>
        <w:t> </w:t>
      </w:r>
      <w:hyperlink r:id="rId8" w:anchor=".WEB-wHeZPVp" w:tgtFrame="_blank" w:history="1">
        <w:r w:rsidRPr="000518A3">
          <w:rPr>
            <w:rStyle w:val="Hyperlink"/>
            <w:rFonts w:ascii="Verdana" w:hAnsi="Verdana"/>
            <w:color w:val="auto"/>
            <w:spacing w:val="-2"/>
            <w:sz w:val="20"/>
            <w:szCs w:val="20"/>
            <w:u w:val="none"/>
          </w:rPr>
          <w:t>published clearer guidance</w:t>
        </w:r>
      </w:hyperlink>
      <w:r w:rsidRPr="000518A3">
        <w:rPr>
          <w:rStyle w:val="apple-converted-space"/>
          <w:rFonts w:ascii="Verdana" w:hAnsi="Verdana"/>
          <w:spacing w:val="-2"/>
          <w:sz w:val="20"/>
          <w:szCs w:val="20"/>
        </w:rPr>
        <w:t> </w:t>
      </w:r>
      <w:r w:rsidRPr="000518A3">
        <w:rPr>
          <w:rFonts w:ascii="Verdana" w:hAnsi="Verdana"/>
          <w:sz w:val="20"/>
          <w:szCs w:val="20"/>
        </w:rPr>
        <w:t>about</w:t>
      </w:r>
      <w:r w:rsidRPr="000518A3">
        <w:rPr>
          <w:rStyle w:val="apple-converted-space"/>
          <w:rFonts w:ascii="Verdana" w:hAnsi="Verdana"/>
          <w:spacing w:val="-2"/>
          <w:sz w:val="20"/>
          <w:szCs w:val="20"/>
        </w:rPr>
        <w:t> </w:t>
      </w:r>
      <w:hyperlink r:id="rId9" w:tgtFrame="_blank" w:history="1">
        <w:r w:rsidRPr="000518A3">
          <w:rPr>
            <w:rStyle w:val="Hyperlink"/>
            <w:rFonts w:ascii="Verdana" w:hAnsi="Verdana"/>
            <w:color w:val="auto"/>
            <w:spacing w:val="-2"/>
            <w:sz w:val="20"/>
            <w:szCs w:val="20"/>
            <w:u w:val="none"/>
          </w:rPr>
          <w:t>allowable expenses</w:t>
        </w:r>
      </w:hyperlink>
      <w:r w:rsidRPr="000518A3">
        <w:rPr>
          <w:rStyle w:val="apple-converted-space"/>
          <w:rFonts w:ascii="Verdana" w:hAnsi="Verdana"/>
          <w:spacing w:val="-2"/>
          <w:sz w:val="20"/>
          <w:szCs w:val="20"/>
        </w:rPr>
        <w:t> </w:t>
      </w:r>
      <w:r w:rsidRPr="000518A3">
        <w:rPr>
          <w:rFonts w:ascii="Verdana" w:hAnsi="Verdana"/>
          <w:sz w:val="20"/>
          <w:szCs w:val="20"/>
        </w:rPr>
        <w:t>and</w:t>
      </w:r>
      <w:r w:rsidRPr="000518A3">
        <w:rPr>
          <w:rStyle w:val="apple-converted-space"/>
          <w:rFonts w:ascii="Verdana" w:hAnsi="Verdana"/>
          <w:spacing w:val="-2"/>
          <w:sz w:val="20"/>
          <w:szCs w:val="20"/>
        </w:rPr>
        <w:t> </w:t>
      </w:r>
      <w:hyperlink r:id="rId10" w:anchor=".WECBI3eZNsM" w:tgtFrame="_blank" w:history="1">
        <w:r w:rsidRPr="000518A3">
          <w:rPr>
            <w:rStyle w:val="Hyperlink"/>
            <w:rFonts w:ascii="Verdana" w:hAnsi="Verdana"/>
            <w:color w:val="auto"/>
            <w:spacing w:val="-2"/>
            <w:sz w:val="20"/>
            <w:szCs w:val="20"/>
            <w:u w:val="none"/>
          </w:rPr>
          <w:t>supporting documentation</w:t>
        </w:r>
      </w:hyperlink>
      <w:r w:rsidRPr="000518A3">
        <w:rPr>
          <w:rStyle w:val="apple-converted-space"/>
          <w:rFonts w:ascii="Verdana" w:hAnsi="Verdana"/>
          <w:spacing w:val="-2"/>
          <w:sz w:val="20"/>
          <w:szCs w:val="20"/>
        </w:rPr>
        <w:t> </w:t>
      </w:r>
      <w:r w:rsidRPr="000518A3">
        <w:rPr>
          <w:rFonts w:ascii="Verdana" w:hAnsi="Verdana"/>
          <w:sz w:val="20"/>
          <w:szCs w:val="20"/>
        </w:rPr>
        <w:t>after it faced criticism about the initiative’s sweep and implementation in 2014, its first year. It also shifted away from denying claims without first seeking documents to back them up. Early this year, the department gave notice that taxpayers claiming unreimbursed business expenses </w:t>
      </w:r>
      <w:hyperlink r:id="rId11" w:tgtFrame="_blank" w:history="1">
        <w:r w:rsidRPr="000518A3">
          <w:rPr>
            <w:rStyle w:val="Hyperlink"/>
            <w:rFonts w:ascii="Verdana" w:hAnsi="Verdana"/>
            <w:color w:val="auto"/>
            <w:spacing w:val="-2"/>
            <w:sz w:val="20"/>
            <w:szCs w:val="20"/>
            <w:u w:val="none"/>
          </w:rPr>
          <w:t>should provide a verification letter</w:t>
        </w:r>
      </w:hyperlink>
      <w:r w:rsidRPr="000518A3">
        <w:rPr>
          <w:rStyle w:val="apple-converted-space"/>
          <w:rFonts w:ascii="Verdana" w:hAnsi="Verdana"/>
          <w:spacing w:val="-2"/>
          <w:sz w:val="20"/>
          <w:szCs w:val="20"/>
        </w:rPr>
        <w:t> </w:t>
      </w:r>
      <w:r w:rsidRPr="000518A3">
        <w:rPr>
          <w:rFonts w:ascii="Verdana" w:hAnsi="Verdana"/>
          <w:sz w:val="20"/>
          <w:szCs w:val="20"/>
        </w:rPr>
        <w:t>from employers, or submit a copy of the employer’s reimbursement policy or a signed affidavit. The Department of Revenue’s website</w:t>
      </w:r>
      <w:r w:rsidRPr="000518A3">
        <w:rPr>
          <w:rStyle w:val="apple-converted-space"/>
          <w:rFonts w:ascii="Verdana" w:hAnsi="Verdana"/>
          <w:spacing w:val="-2"/>
          <w:sz w:val="20"/>
          <w:szCs w:val="20"/>
        </w:rPr>
        <w:t> </w:t>
      </w:r>
      <w:hyperlink r:id="rId12" w:anchor=".WECBzneZNsM" w:tgtFrame="_blank" w:history="1">
        <w:r w:rsidRPr="000518A3">
          <w:rPr>
            <w:rStyle w:val="Hyperlink"/>
            <w:rFonts w:ascii="Verdana" w:hAnsi="Verdana"/>
            <w:color w:val="auto"/>
            <w:spacing w:val="-2"/>
            <w:sz w:val="20"/>
            <w:szCs w:val="20"/>
            <w:u w:val="none"/>
          </w:rPr>
          <w:t>lists ways to document</w:t>
        </w:r>
      </w:hyperlink>
      <w:r w:rsidRPr="000518A3">
        <w:rPr>
          <w:rStyle w:val="apple-converted-space"/>
          <w:rFonts w:ascii="Verdana" w:hAnsi="Verdana"/>
          <w:spacing w:val="-2"/>
          <w:sz w:val="20"/>
          <w:szCs w:val="20"/>
        </w:rPr>
        <w:t> </w:t>
      </w:r>
      <w:r w:rsidRPr="000518A3">
        <w:rPr>
          <w:rFonts w:ascii="Verdana" w:hAnsi="Verdana"/>
          <w:sz w:val="20"/>
          <w:szCs w:val="20"/>
        </w:rPr>
        <w:t>different kinds of unreimbursed expenses. Accountants still dislike the Department of Revenue’s initiative, saying it discourages people from claiming appropriate deductions and takes advantage of people’s disinclination to bother fighting for deductions if they aren’t that big.</w:t>
      </w:r>
    </w:p>
    <w:p w:rsidR="002B66DB" w:rsidRPr="002B66DB" w:rsidRDefault="002B66DB" w:rsidP="002B66DB">
      <w:pPr>
        <w:pStyle w:val="NoSpacing"/>
        <w:rPr>
          <w:rFonts w:ascii="Verdana" w:hAnsi="Verdana"/>
          <w:b/>
          <w:caps/>
          <w:sz w:val="22"/>
          <w:szCs w:val="20"/>
          <w:u w:val="thick"/>
        </w:rPr>
      </w:pPr>
      <w:r w:rsidRPr="002B66DB">
        <w:rPr>
          <w:rFonts w:ascii="Verdana" w:hAnsi="Verdana"/>
          <w:b/>
          <w:caps/>
          <w:sz w:val="22"/>
          <w:szCs w:val="20"/>
          <w:u w:val="thick"/>
        </w:rPr>
        <w:t>Governor Tom Wolf Rescinds 46 Executive Orders</w:t>
      </w:r>
    </w:p>
    <w:p w:rsidR="002B66DB" w:rsidRPr="002B66DB" w:rsidRDefault="002B66DB" w:rsidP="002B66DB">
      <w:pPr>
        <w:pStyle w:val="NoSpacing"/>
        <w:rPr>
          <w:rFonts w:ascii="Verdana" w:hAnsi="Verdana"/>
          <w:sz w:val="20"/>
          <w:szCs w:val="20"/>
        </w:rPr>
      </w:pPr>
      <w:r w:rsidRPr="002B66DB">
        <w:rPr>
          <w:rFonts w:ascii="Verdana" w:hAnsi="Verdana"/>
          <w:sz w:val="20"/>
          <w:szCs w:val="20"/>
        </w:rPr>
        <w:t>Governor Tom Wolf announced that he will rescind 46 outdated and unnecessary executive orders by previous administrations - some dating back 30 years - to continue his efforts to clean-up state government. Outdated orders include those from seven previous Governors starting with Gov. Milton</w:t>
      </w:r>
      <w:r w:rsidRPr="002B66DB">
        <w:rPr>
          <w:rStyle w:val="apple-converted-space"/>
          <w:rFonts w:ascii="Verdana" w:hAnsi="Verdana" w:cs="Arial"/>
          <w:color w:val="000000"/>
          <w:sz w:val="20"/>
          <w:szCs w:val="20"/>
        </w:rPr>
        <w:t> </w:t>
      </w:r>
      <w:proofErr w:type="spellStart"/>
      <w:r w:rsidRPr="002B66DB">
        <w:rPr>
          <w:rStyle w:val="spelle"/>
          <w:rFonts w:ascii="Verdana" w:hAnsi="Verdana" w:cs="Arial"/>
          <w:color w:val="000000"/>
          <w:sz w:val="20"/>
          <w:szCs w:val="20"/>
        </w:rPr>
        <w:t>Shapp</w:t>
      </w:r>
      <w:proofErr w:type="spellEnd"/>
      <w:r w:rsidRPr="002B66DB">
        <w:rPr>
          <w:rFonts w:ascii="Verdana" w:hAnsi="Verdana"/>
          <w:sz w:val="20"/>
          <w:szCs w:val="20"/>
        </w:rPr>
        <w:t>.</w:t>
      </w:r>
      <w:r>
        <w:rPr>
          <w:rFonts w:ascii="Verdana" w:hAnsi="Verdana"/>
          <w:sz w:val="20"/>
          <w:szCs w:val="20"/>
        </w:rPr>
        <w:t xml:space="preserve"> </w:t>
      </w:r>
      <w:r w:rsidRPr="002B66DB">
        <w:rPr>
          <w:rFonts w:ascii="Verdana" w:hAnsi="Verdana"/>
          <w:sz w:val="20"/>
          <w:szCs w:val="20"/>
        </w:rPr>
        <w:t>Many of the executive actions being rescinded include boards, task forces, programs and commissions that no longer exist</w:t>
      </w:r>
      <w:r>
        <w:rPr>
          <w:rFonts w:ascii="Verdana" w:hAnsi="Verdana"/>
          <w:sz w:val="20"/>
          <w:szCs w:val="20"/>
        </w:rPr>
        <w:t xml:space="preserve">. </w:t>
      </w:r>
      <w:r w:rsidRPr="002B66DB">
        <w:rPr>
          <w:rFonts w:ascii="Verdana" w:hAnsi="Verdana"/>
          <w:sz w:val="20"/>
          <w:szCs w:val="20"/>
        </w:rPr>
        <w:t>Many other orders created policies that have either been codified in statute, superseded by new legislation or are no longer necessary.</w:t>
      </w:r>
    </w:p>
    <w:p w:rsidR="00635217" w:rsidRPr="006054DC" w:rsidRDefault="00635217" w:rsidP="00635217">
      <w:pPr>
        <w:spacing w:after="0" w:line="240" w:lineRule="auto"/>
        <w:rPr>
          <w:rFonts w:ascii="Verdana" w:eastAsia="Verdana" w:hAnsi="Verdana" w:cs="Verdana"/>
        </w:rPr>
      </w:pPr>
      <w:r w:rsidRPr="006054DC">
        <w:rPr>
          <w:rFonts w:ascii="Verdana" w:eastAsia="Verdana" w:hAnsi="Verdana" w:cs="Verdana"/>
          <w:b/>
          <w:bCs/>
          <w:spacing w:val="1"/>
          <w:position w:val="-1"/>
          <w:u w:val="thick" w:color="000000"/>
        </w:rPr>
        <w:t>P</w:t>
      </w:r>
      <w:r w:rsidRPr="006054DC">
        <w:rPr>
          <w:rFonts w:ascii="Verdana" w:eastAsia="Verdana" w:hAnsi="Verdana" w:cs="Verdana"/>
          <w:b/>
          <w:bCs/>
          <w:spacing w:val="-2"/>
          <w:position w:val="-1"/>
          <w:u w:val="thick" w:color="000000"/>
        </w:rPr>
        <w:t>E</w:t>
      </w:r>
      <w:r w:rsidRPr="006054DC">
        <w:rPr>
          <w:rFonts w:ascii="Verdana" w:eastAsia="Verdana" w:hAnsi="Verdana" w:cs="Verdana"/>
          <w:b/>
          <w:bCs/>
          <w:position w:val="-1"/>
          <w:u w:val="thick" w:color="000000"/>
        </w:rPr>
        <w:t>NN</w:t>
      </w:r>
      <w:r w:rsidRPr="006054DC">
        <w:rPr>
          <w:rFonts w:ascii="Verdana" w:eastAsia="Verdana" w:hAnsi="Verdana" w:cs="Verdana"/>
          <w:b/>
          <w:bCs/>
          <w:spacing w:val="2"/>
          <w:position w:val="-1"/>
          <w:u w:val="thick" w:color="000000"/>
        </w:rPr>
        <w:t>S</w:t>
      </w:r>
      <w:r w:rsidRPr="006054DC">
        <w:rPr>
          <w:rFonts w:ascii="Verdana" w:eastAsia="Verdana" w:hAnsi="Verdana" w:cs="Verdana"/>
          <w:b/>
          <w:bCs/>
          <w:position w:val="-1"/>
          <w:u w:val="thick" w:color="000000"/>
        </w:rPr>
        <w:t>Y</w:t>
      </w:r>
      <w:r w:rsidRPr="006054DC">
        <w:rPr>
          <w:rFonts w:ascii="Verdana" w:eastAsia="Verdana" w:hAnsi="Verdana" w:cs="Verdana"/>
          <w:b/>
          <w:bCs/>
          <w:spacing w:val="-1"/>
          <w:position w:val="-1"/>
          <w:u w:val="thick" w:color="000000"/>
        </w:rPr>
        <w:t>LV</w:t>
      </w:r>
      <w:r w:rsidRPr="006054DC">
        <w:rPr>
          <w:rFonts w:ascii="Verdana" w:eastAsia="Verdana" w:hAnsi="Verdana" w:cs="Verdana"/>
          <w:b/>
          <w:bCs/>
          <w:spacing w:val="-3"/>
          <w:position w:val="-1"/>
          <w:u w:val="thick" w:color="000000"/>
        </w:rPr>
        <w:t>A</w:t>
      </w:r>
      <w:r w:rsidRPr="006054DC">
        <w:rPr>
          <w:rFonts w:ascii="Verdana" w:eastAsia="Verdana" w:hAnsi="Verdana" w:cs="Verdana"/>
          <w:b/>
          <w:bCs/>
          <w:position w:val="-1"/>
          <w:u w:val="thick" w:color="000000"/>
        </w:rPr>
        <w:t>NIA</w:t>
      </w:r>
      <w:r w:rsidRPr="006054DC">
        <w:rPr>
          <w:rFonts w:ascii="Verdana" w:eastAsia="Verdana" w:hAnsi="Verdana" w:cs="Verdana"/>
          <w:b/>
          <w:bCs/>
          <w:spacing w:val="2"/>
          <w:position w:val="-1"/>
          <w:u w:val="thick" w:color="000000"/>
        </w:rPr>
        <w:t xml:space="preserve"> </w:t>
      </w:r>
      <w:r w:rsidRPr="006054DC">
        <w:rPr>
          <w:rFonts w:ascii="Verdana" w:eastAsia="Verdana" w:hAnsi="Verdana" w:cs="Verdana"/>
          <w:b/>
          <w:bCs/>
          <w:spacing w:val="-2"/>
          <w:position w:val="-1"/>
          <w:u w:val="thick" w:color="000000"/>
        </w:rPr>
        <w:t>GE</w:t>
      </w:r>
      <w:r w:rsidRPr="006054DC">
        <w:rPr>
          <w:rFonts w:ascii="Verdana" w:eastAsia="Verdana" w:hAnsi="Verdana" w:cs="Verdana"/>
          <w:b/>
          <w:bCs/>
          <w:position w:val="-1"/>
          <w:u w:val="thick" w:color="000000"/>
        </w:rPr>
        <w:t>N</w:t>
      </w:r>
      <w:r w:rsidRPr="006054DC">
        <w:rPr>
          <w:rFonts w:ascii="Verdana" w:eastAsia="Verdana" w:hAnsi="Verdana" w:cs="Verdana"/>
          <w:b/>
          <w:bCs/>
          <w:spacing w:val="-2"/>
          <w:position w:val="-1"/>
          <w:u w:val="thick" w:color="000000"/>
        </w:rPr>
        <w:t>E</w:t>
      </w:r>
      <w:r w:rsidRPr="006054DC">
        <w:rPr>
          <w:rFonts w:ascii="Verdana" w:eastAsia="Verdana" w:hAnsi="Verdana" w:cs="Verdana"/>
          <w:b/>
          <w:bCs/>
          <w:position w:val="-1"/>
          <w:u w:val="thick" w:color="000000"/>
        </w:rPr>
        <w:t>R</w:t>
      </w:r>
      <w:r w:rsidRPr="006054DC">
        <w:rPr>
          <w:rFonts w:ascii="Verdana" w:eastAsia="Verdana" w:hAnsi="Verdana" w:cs="Verdana"/>
          <w:b/>
          <w:bCs/>
          <w:spacing w:val="1"/>
          <w:position w:val="-1"/>
          <w:u w:val="thick" w:color="000000"/>
        </w:rPr>
        <w:t>A</w:t>
      </w:r>
      <w:r w:rsidRPr="006054DC">
        <w:rPr>
          <w:rFonts w:ascii="Verdana" w:eastAsia="Verdana" w:hAnsi="Verdana" w:cs="Verdana"/>
          <w:b/>
          <w:bCs/>
          <w:position w:val="-1"/>
          <w:u w:val="thick" w:color="000000"/>
        </w:rPr>
        <w:t>L</w:t>
      </w:r>
      <w:r w:rsidRPr="006054DC">
        <w:rPr>
          <w:rFonts w:ascii="Verdana" w:eastAsia="Verdana" w:hAnsi="Verdana" w:cs="Verdana"/>
          <w:b/>
          <w:bCs/>
          <w:spacing w:val="-5"/>
          <w:position w:val="-1"/>
          <w:u w:val="thick" w:color="000000"/>
        </w:rPr>
        <w:t xml:space="preserve"> </w:t>
      </w:r>
      <w:r w:rsidRPr="006054DC">
        <w:rPr>
          <w:rFonts w:ascii="Verdana" w:eastAsia="Verdana" w:hAnsi="Verdana" w:cs="Verdana"/>
          <w:b/>
          <w:bCs/>
          <w:spacing w:val="1"/>
          <w:position w:val="-1"/>
          <w:u w:val="thick" w:color="000000"/>
        </w:rPr>
        <w:t>A</w:t>
      </w:r>
      <w:r w:rsidRPr="006054DC">
        <w:rPr>
          <w:rFonts w:ascii="Verdana" w:eastAsia="Verdana" w:hAnsi="Verdana" w:cs="Verdana"/>
          <w:b/>
          <w:bCs/>
          <w:spacing w:val="-3"/>
          <w:position w:val="-1"/>
          <w:u w:val="thick" w:color="000000"/>
        </w:rPr>
        <w:t>S</w:t>
      </w:r>
      <w:r w:rsidRPr="006054DC">
        <w:rPr>
          <w:rFonts w:ascii="Verdana" w:eastAsia="Verdana" w:hAnsi="Verdana" w:cs="Verdana"/>
          <w:b/>
          <w:bCs/>
          <w:spacing w:val="1"/>
          <w:position w:val="-1"/>
          <w:u w:val="thick" w:color="000000"/>
        </w:rPr>
        <w:t>S</w:t>
      </w:r>
      <w:r w:rsidRPr="006054DC">
        <w:rPr>
          <w:rFonts w:ascii="Verdana" w:eastAsia="Verdana" w:hAnsi="Verdana" w:cs="Verdana"/>
          <w:b/>
          <w:bCs/>
          <w:spacing w:val="-2"/>
          <w:position w:val="-1"/>
          <w:u w:val="thick" w:color="000000"/>
        </w:rPr>
        <w:t>E</w:t>
      </w:r>
      <w:r w:rsidRPr="006054DC">
        <w:rPr>
          <w:rFonts w:ascii="Verdana" w:eastAsia="Verdana" w:hAnsi="Verdana" w:cs="Verdana"/>
          <w:b/>
          <w:bCs/>
          <w:spacing w:val="2"/>
          <w:position w:val="-1"/>
          <w:u w:val="thick" w:color="000000"/>
        </w:rPr>
        <w:t>M</w:t>
      </w:r>
      <w:r w:rsidRPr="006054DC">
        <w:rPr>
          <w:rFonts w:ascii="Verdana" w:eastAsia="Verdana" w:hAnsi="Verdana" w:cs="Verdana"/>
          <w:b/>
          <w:bCs/>
          <w:position w:val="-1"/>
          <w:u w:val="thick" w:color="000000"/>
        </w:rPr>
        <w:t>B</w:t>
      </w:r>
      <w:r w:rsidRPr="006054DC">
        <w:rPr>
          <w:rFonts w:ascii="Verdana" w:eastAsia="Verdana" w:hAnsi="Verdana" w:cs="Verdana"/>
          <w:b/>
          <w:bCs/>
          <w:spacing w:val="-2"/>
          <w:position w:val="-1"/>
          <w:u w:val="thick" w:color="000000"/>
        </w:rPr>
        <w:t>L</w:t>
      </w:r>
      <w:r w:rsidRPr="006054DC">
        <w:rPr>
          <w:rFonts w:ascii="Verdana" w:eastAsia="Verdana" w:hAnsi="Verdana" w:cs="Verdana"/>
          <w:b/>
          <w:bCs/>
          <w:position w:val="-1"/>
          <w:u w:val="thick" w:color="000000"/>
        </w:rPr>
        <w:t>Y</w:t>
      </w:r>
      <w:r w:rsidRPr="006054DC">
        <w:rPr>
          <w:rFonts w:ascii="Verdana" w:eastAsia="Verdana" w:hAnsi="Verdana" w:cs="Verdana"/>
          <w:b/>
          <w:bCs/>
          <w:spacing w:val="-3"/>
          <w:position w:val="-1"/>
          <w:u w:val="thick" w:color="000000"/>
        </w:rPr>
        <w:t xml:space="preserve"> S</w:t>
      </w:r>
      <w:r w:rsidRPr="006054DC">
        <w:rPr>
          <w:rFonts w:ascii="Verdana" w:eastAsia="Verdana" w:hAnsi="Verdana" w:cs="Verdana"/>
          <w:b/>
          <w:bCs/>
          <w:spacing w:val="-2"/>
          <w:position w:val="-1"/>
          <w:u w:val="thick" w:color="000000"/>
        </w:rPr>
        <w:t>E</w:t>
      </w:r>
      <w:r w:rsidRPr="006054DC">
        <w:rPr>
          <w:rFonts w:ascii="Verdana" w:eastAsia="Verdana" w:hAnsi="Verdana" w:cs="Verdana"/>
          <w:b/>
          <w:bCs/>
          <w:spacing w:val="1"/>
          <w:position w:val="-1"/>
          <w:u w:val="thick" w:color="000000"/>
        </w:rPr>
        <w:t>SS</w:t>
      </w:r>
      <w:r w:rsidRPr="006054DC">
        <w:rPr>
          <w:rFonts w:ascii="Verdana" w:eastAsia="Verdana" w:hAnsi="Verdana" w:cs="Verdana"/>
          <w:b/>
          <w:bCs/>
          <w:position w:val="-1"/>
          <w:u w:val="thick" w:color="000000"/>
        </w:rPr>
        <w:t>I</w:t>
      </w:r>
      <w:r w:rsidRPr="006054DC">
        <w:rPr>
          <w:rFonts w:ascii="Verdana" w:eastAsia="Verdana" w:hAnsi="Verdana" w:cs="Verdana"/>
          <w:b/>
          <w:bCs/>
          <w:spacing w:val="-1"/>
          <w:position w:val="-1"/>
          <w:u w:val="thick" w:color="000000"/>
        </w:rPr>
        <w:t>O</w:t>
      </w:r>
      <w:r w:rsidRPr="006054DC">
        <w:rPr>
          <w:rFonts w:ascii="Verdana" w:eastAsia="Verdana" w:hAnsi="Verdana" w:cs="Verdana"/>
          <w:b/>
          <w:bCs/>
          <w:position w:val="-1"/>
          <w:u w:val="thick" w:color="000000"/>
        </w:rPr>
        <w:t>N</w:t>
      </w:r>
      <w:r w:rsidRPr="006054DC">
        <w:rPr>
          <w:rFonts w:ascii="Verdana" w:eastAsia="Verdana" w:hAnsi="Verdana" w:cs="Verdana"/>
          <w:b/>
          <w:bCs/>
          <w:spacing w:val="-3"/>
          <w:position w:val="-1"/>
          <w:u w:val="thick" w:color="000000"/>
        </w:rPr>
        <w:t xml:space="preserve"> </w:t>
      </w:r>
      <w:r w:rsidRPr="006054DC">
        <w:rPr>
          <w:rFonts w:ascii="Verdana" w:eastAsia="Verdana" w:hAnsi="Verdana" w:cs="Verdana"/>
          <w:b/>
          <w:bCs/>
          <w:spacing w:val="1"/>
          <w:position w:val="-1"/>
          <w:u w:val="thick" w:color="000000"/>
        </w:rPr>
        <w:t>S</w:t>
      </w:r>
      <w:r w:rsidRPr="006054DC">
        <w:rPr>
          <w:rFonts w:ascii="Verdana" w:eastAsia="Verdana" w:hAnsi="Verdana" w:cs="Verdana"/>
          <w:b/>
          <w:bCs/>
          <w:spacing w:val="-2"/>
          <w:position w:val="-1"/>
          <w:u w:val="thick" w:color="000000"/>
        </w:rPr>
        <w:t>C</w:t>
      </w:r>
      <w:r w:rsidRPr="006054DC">
        <w:rPr>
          <w:rFonts w:ascii="Verdana" w:eastAsia="Verdana" w:hAnsi="Verdana" w:cs="Verdana"/>
          <w:b/>
          <w:bCs/>
          <w:spacing w:val="2"/>
          <w:position w:val="-1"/>
          <w:u w:val="thick" w:color="000000"/>
        </w:rPr>
        <w:t>H</w:t>
      </w:r>
      <w:r w:rsidRPr="006054DC">
        <w:rPr>
          <w:rFonts w:ascii="Verdana" w:eastAsia="Verdana" w:hAnsi="Verdana" w:cs="Verdana"/>
          <w:b/>
          <w:bCs/>
          <w:spacing w:val="-2"/>
          <w:position w:val="-1"/>
          <w:u w:val="thick" w:color="000000"/>
        </w:rPr>
        <w:t>E</w:t>
      </w:r>
      <w:r w:rsidRPr="006054DC">
        <w:rPr>
          <w:rFonts w:ascii="Verdana" w:eastAsia="Verdana" w:hAnsi="Verdana" w:cs="Verdana"/>
          <w:b/>
          <w:bCs/>
          <w:spacing w:val="-1"/>
          <w:position w:val="-1"/>
          <w:u w:val="thick" w:color="000000"/>
        </w:rPr>
        <w:t>D</w:t>
      </w:r>
      <w:r w:rsidRPr="006054DC">
        <w:rPr>
          <w:rFonts w:ascii="Verdana" w:eastAsia="Verdana" w:hAnsi="Verdana" w:cs="Verdana"/>
          <w:b/>
          <w:bCs/>
          <w:spacing w:val="-2"/>
          <w:position w:val="-1"/>
          <w:u w:val="thick" w:color="000000"/>
        </w:rPr>
        <w:t>UL</w:t>
      </w:r>
      <w:r w:rsidRPr="006054DC">
        <w:rPr>
          <w:rFonts w:ascii="Verdana" w:eastAsia="Verdana" w:hAnsi="Verdana" w:cs="Verdana"/>
          <w:b/>
          <w:bCs/>
          <w:spacing w:val="4"/>
          <w:position w:val="-1"/>
          <w:u w:val="thick" w:color="000000"/>
        </w:rPr>
        <w:t>E</w:t>
      </w:r>
      <w:r w:rsidRPr="006054DC">
        <w:rPr>
          <w:rFonts w:ascii="Verdana" w:eastAsia="Verdana" w:hAnsi="Verdana" w:cs="Verdana"/>
          <w:b/>
          <w:bCs/>
          <w:position w:val="-1"/>
        </w:rPr>
        <w:t>:</w:t>
      </w:r>
    </w:p>
    <w:p w:rsidR="00B7758B" w:rsidRPr="006054DC" w:rsidRDefault="00B7758B" w:rsidP="00B7758B">
      <w:pPr>
        <w:pStyle w:val="NoSpacing"/>
        <w:spacing w:before="0" w:beforeAutospacing="0" w:after="0" w:afterAutospacing="0"/>
        <w:rPr>
          <w:u w:val="single"/>
        </w:rPr>
      </w:pPr>
    </w:p>
    <w:p w:rsidR="00D34264" w:rsidRPr="00D34264" w:rsidRDefault="00D34264" w:rsidP="00D34264">
      <w:pPr>
        <w:pStyle w:val="NoSpacing"/>
        <w:spacing w:before="0" w:beforeAutospacing="0" w:after="0" w:afterAutospacing="0"/>
        <w:rPr>
          <w:rFonts w:ascii="Verdana" w:hAnsi="Verdana"/>
          <w:b/>
          <w:color w:val="000000"/>
          <w:sz w:val="20"/>
          <w:szCs w:val="20"/>
        </w:rPr>
      </w:pPr>
      <w:r w:rsidRPr="00D34264">
        <w:rPr>
          <w:rFonts w:ascii="Verdana" w:hAnsi="Verdana"/>
          <w:b/>
          <w:bCs/>
          <w:color w:val="000000"/>
          <w:sz w:val="20"/>
          <w:szCs w:val="20"/>
        </w:rPr>
        <w:t>2017 SENATE SESSION SCHEDULE</w:t>
      </w:r>
    </w:p>
    <w:p w:rsidR="00D34264" w:rsidRPr="00D34264" w:rsidRDefault="00D34264" w:rsidP="00D34264">
      <w:pPr>
        <w:pStyle w:val="NoSpacing"/>
        <w:spacing w:before="0" w:beforeAutospacing="0" w:after="0" w:afterAutospacing="0"/>
        <w:rPr>
          <w:rFonts w:ascii="Verdana" w:hAnsi="Verdana"/>
          <w:color w:val="000000"/>
          <w:sz w:val="20"/>
          <w:szCs w:val="20"/>
        </w:rPr>
      </w:pPr>
      <w:r w:rsidRPr="00D34264">
        <w:rPr>
          <w:rFonts w:ascii="Verdana" w:hAnsi="Verdana"/>
          <w:b/>
          <w:bCs/>
          <w:color w:val="000000"/>
          <w:sz w:val="20"/>
          <w:szCs w:val="20"/>
        </w:rPr>
        <w:t> </w:t>
      </w:r>
    </w:p>
    <w:p w:rsidR="00D34264" w:rsidRPr="00D34264" w:rsidRDefault="00D34264" w:rsidP="00D34264">
      <w:pPr>
        <w:pStyle w:val="NoSpacing"/>
        <w:spacing w:before="0" w:beforeAutospacing="0" w:after="0" w:afterAutospacing="0"/>
        <w:rPr>
          <w:rFonts w:ascii="Verdana" w:hAnsi="Verdana"/>
          <w:color w:val="000000"/>
          <w:sz w:val="20"/>
          <w:szCs w:val="20"/>
        </w:rPr>
      </w:pPr>
      <w:r w:rsidRPr="00B21438">
        <w:rPr>
          <w:rFonts w:ascii="Verdana" w:hAnsi="Verdana"/>
          <w:b/>
          <w:bCs/>
          <w:color w:val="000000"/>
          <w:sz w:val="20"/>
          <w:szCs w:val="20"/>
        </w:rPr>
        <w:t>January</w:t>
      </w:r>
      <w:r w:rsidRPr="00D34264">
        <w:rPr>
          <w:rFonts w:ascii="Verdana" w:hAnsi="Verdana"/>
          <w:b/>
          <w:bCs/>
          <w:color w:val="000000"/>
          <w:sz w:val="20"/>
          <w:szCs w:val="20"/>
        </w:rPr>
        <w:t>         </w:t>
      </w:r>
      <w:r w:rsidRPr="00D34264">
        <w:rPr>
          <w:rStyle w:val="apple-converted-space"/>
          <w:rFonts w:ascii="Verdana" w:hAnsi="Verdana"/>
          <w:b/>
          <w:bCs/>
          <w:color w:val="000000"/>
          <w:sz w:val="20"/>
          <w:szCs w:val="20"/>
        </w:rPr>
        <w:t> </w:t>
      </w:r>
      <w:r w:rsidRPr="00D34264">
        <w:rPr>
          <w:rFonts w:ascii="Verdana" w:hAnsi="Verdana"/>
          <w:bCs/>
          <w:color w:val="000000"/>
          <w:sz w:val="20"/>
          <w:szCs w:val="20"/>
        </w:rPr>
        <w:t>3, 23, 24, 25, 30, 31</w:t>
      </w:r>
    </w:p>
    <w:p w:rsidR="00D34264" w:rsidRPr="00D34264" w:rsidRDefault="00D34264" w:rsidP="00D34264">
      <w:pPr>
        <w:pStyle w:val="NoSpacing"/>
        <w:spacing w:before="0" w:beforeAutospacing="0" w:after="0" w:afterAutospacing="0"/>
        <w:rPr>
          <w:rFonts w:ascii="Verdana" w:hAnsi="Verdana"/>
          <w:color w:val="000000"/>
          <w:sz w:val="20"/>
          <w:szCs w:val="20"/>
        </w:rPr>
      </w:pPr>
      <w:r w:rsidRPr="00D34264">
        <w:rPr>
          <w:rFonts w:ascii="Verdana" w:hAnsi="Verdana"/>
          <w:b/>
          <w:bCs/>
          <w:color w:val="000000"/>
          <w:sz w:val="20"/>
          <w:szCs w:val="20"/>
        </w:rPr>
        <w:t> </w:t>
      </w:r>
    </w:p>
    <w:p w:rsidR="00D34264" w:rsidRPr="00B21438" w:rsidRDefault="00D34264" w:rsidP="00D34264">
      <w:pPr>
        <w:pStyle w:val="NoSpacing"/>
        <w:spacing w:before="0" w:beforeAutospacing="0" w:after="0" w:afterAutospacing="0"/>
        <w:rPr>
          <w:rFonts w:ascii="Verdana" w:hAnsi="Verdana"/>
          <w:color w:val="000000"/>
          <w:sz w:val="20"/>
          <w:szCs w:val="20"/>
        </w:rPr>
      </w:pPr>
      <w:r w:rsidRPr="00B21438">
        <w:rPr>
          <w:rFonts w:ascii="Verdana" w:hAnsi="Verdana"/>
          <w:b/>
          <w:bCs/>
          <w:color w:val="000000"/>
          <w:sz w:val="20"/>
          <w:szCs w:val="20"/>
        </w:rPr>
        <w:t>February        </w:t>
      </w:r>
      <w:r w:rsidRPr="00B21438">
        <w:rPr>
          <w:rFonts w:ascii="Verdana" w:hAnsi="Verdana"/>
          <w:bCs/>
          <w:color w:val="000000"/>
          <w:sz w:val="20"/>
          <w:szCs w:val="20"/>
        </w:rPr>
        <w:t>1, 6, 7, 8</w:t>
      </w:r>
    </w:p>
    <w:p w:rsidR="00D34264" w:rsidRPr="00B21438" w:rsidRDefault="00D34264" w:rsidP="00D34264">
      <w:pPr>
        <w:pStyle w:val="NoSpacing"/>
        <w:spacing w:before="0" w:beforeAutospacing="0" w:after="0" w:afterAutospacing="0"/>
        <w:rPr>
          <w:rFonts w:ascii="Verdana" w:hAnsi="Verdana"/>
          <w:color w:val="000000"/>
          <w:sz w:val="20"/>
          <w:szCs w:val="20"/>
        </w:rPr>
      </w:pPr>
      <w:r w:rsidRPr="00B21438">
        <w:rPr>
          <w:rFonts w:ascii="Verdana" w:hAnsi="Verdana"/>
          <w:b/>
          <w:bCs/>
          <w:color w:val="000000"/>
          <w:sz w:val="20"/>
          <w:szCs w:val="20"/>
        </w:rPr>
        <w:t> </w:t>
      </w:r>
    </w:p>
    <w:p w:rsidR="00D34264" w:rsidRPr="00B21438" w:rsidRDefault="00D34264" w:rsidP="00D34264">
      <w:pPr>
        <w:pStyle w:val="NoSpacing"/>
        <w:spacing w:before="0" w:beforeAutospacing="0" w:after="0" w:afterAutospacing="0"/>
        <w:rPr>
          <w:rFonts w:ascii="Verdana" w:hAnsi="Verdana"/>
          <w:color w:val="000000"/>
          <w:sz w:val="20"/>
          <w:szCs w:val="20"/>
        </w:rPr>
      </w:pPr>
      <w:r w:rsidRPr="00B21438">
        <w:rPr>
          <w:rFonts w:ascii="Verdana" w:hAnsi="Verdana"/>
          <w:b/>
          <w:bCs/>
          <w:color w:val="000000"/>
          <w:sz w:val="20"/>
          <w:szCs w:val="20"/>
        </w:rPr>
        <w:t>March            </w:t>
      </w:r>
      <w:r w:rsidRPr="00B21438">
        <w:rPr>
          <w:rStyle w:val="apple-converted-space"/>
          <w:rFonts w:ascii="Verdana" w:hAnsi="Verdana"/>
          <w:b/>
          <w:bCs/>
          <w:color w:val="000000"/>
          <w:sz w:val="20"/>
          <w:szCs w:val="20"/>
        </w:rPr>
        <w:t> </w:t>
      </w:r>
      <w:r w:rsidRPr="00B21438">
        <w:rPr>
          <w:rFonts w:ascii="Verdana" w:hAnsi="Verdana"/>
          <w:bCs/>
          <w:color w:val="000000"/>
          <w:sz w:val="20"/>
          <w:szCs w:val="20"/>
        </w:rPr>
        <w:t>20, 21, 22, 27, 28, 29</w:t>
      </w:r>
    </w:p>
    <w:p w:rsidR="00D34264" w:rsidRPr="00B21438" w:rsidRDefault="00D34264" w:rsidP="00D34264">
      <w:pPr>
        <w:pStyle w:val="NoSpacing"/>
        <w:spacing w:before="0" w:beforeAutospacing="0" w:after="0" w:afterAutospacing="0"/>
        <w:rPr>
          <w:rFonts w:ascii="Verdana" w:hAnsi="Verdana"/>
          <w:color w:val="000000"/>
          <w:sz w:val="20"/>
          <w:szCs w:val="20"/>
        </w:rPr>
      </w:pPr>
      <w:r w:rsidRPr="00B21438">
        <w:rPr>
          <w:rFonts w:ascii="Verdana" w:hAnsi="Verdana"/>
          <w:b/>
          <w:bCs/>
          <w:color w:val="000000"/>
          <w:sz w:val="20"/>
          <w:szCs w:val="20"/>
        </w:rPr>
        <w:t> </w:t>
      </w:r>
    </w:p>
    <w:p w:rsidR="00D34264" w:rsidRPr="00B21438" w:rsidRDefault="00D34264" w:rsidP="00D34264">
      <w:pPr>
        <w:pStyle w:val="NoSpacing"/>
        <w:spacing w:before="0" w:beforeAutospacing="0" w:after="0" w:afterAutospacing="0"/>
        <w:rPr>
          <w:rFonts w:ascii="Verdana" w:hAnsi="Verdana"/>
          <w:color w:val="000000"/>
          <w:sz w:val="20"/>
          <w:szCs w:val="20"/>
        </w:rPr>
      </w:pPr>
      <w:r w:rsidRPr="00B21438">
        <w:rPr>
          <w:rFonts w:ascii="Verdana" w:hAnsi="Verdana"/>
          <w:b/>
          <w:bCs/>
          <w:color w:val="000000"/>
          <w:sz w:val="20"/>
          <w:szCs w:val="20"/>
        </w:rPr>
        <w:t>April               </w:t>
      </w:r>
      <w:r w:rsidRPr="00B21438">
        <w:rPr>
          <w:rFonts w:ascii="Verdana" w:hAnsi="Verdana"/>
          <w:bCs/>
          <w:color w:val="000000"/>
          <w:sz w:val="20"/>
          <w:szCs w:val="20"/>
        </w:rPr>
        <w:t>17, 18, 19, 24, 25, 26</w:t>
      </w:r>
    </w:p>
    <w:p w:rsidR="00D34264" w:rsidRPr="00B21438" w:rsidRDefault="00D34264" w:rsidP="00D34264">
      <w:pPr>
        <w:pStyle w:val="NoSpacing"/>
        <w:spacing w:before="0" w:beforeAutospacing="0" w:after="0" w:afterAutospacing="0"/>
        <w:rPr>
          <w:rFonts w:ascii="Verdana" w:hAnsi="Verdana"/>
          <w:color w:val="000000"/>
          <w:sz w:val="20"/>
          <w:szCs w:val="20"/>
        </w:rPr>
      </w:pPr>
      <w:r w:rsidRPr="00B21438">
        <w:rPr>
          <w:rFonts w:ascii="Verdana" w:hAnsi="Verdana"/>
          <w:b/>
          <w:bCs/>
          <w:color w:val="000000"/>
          <w:sz w:val="20"/>
          <w:szCs w:val="20"/>
        </w:rPr>
        <w:t> </w:t>
      </w:r>
    </w:p>
    <w:p w:rsidR="00D34264" w:rsidRPr="00B21438" w:rsidRDefault="00D34264" w:rsidP="00D34264">
      <w:pPr>
        <w:pStyle w:val="NoSpacing"/>
        <w:spacing w:before="0" w:beforeAutospacing="0" w:after="0" w:afterAutospacing="0"/>
        <w:rPr>
          <w:rFonts w:ascii="Verdana" w:hAnsi="Verdana"/>
          <w:color w:val="000000"/>
          <w:sz w:val="20"/>
          <w:szCs w:val="20"/>
        </w:rPr>
      </w:pPr>
      <w:r w:rsidRPr="00B21438">
        <w:rPr>
          <w:rFonts w:ascii="Verdana" w:hAnsi="Verdana"/>
          <w:b/>
          <w:bCs/>
          <w:color w:val="000000"/>
          <w:sz w:val="20"/>
          <w:szCs w:val="20"/>
        </w:rPr>
        <w:t>May               </w:t>
      </w:r>
      <w:r w:rsidRPr="00B21438">
        <w:rPr>
          <w:rStyle w:val="apple-converted-space"/>
          <w:rFonts w:ascii="Verdana" w:hAnsi="Verdana"/>
          <w:b/>
          <w:bCs/>
          <w:color w:val="000000"/>
          <w:sz w:val="20"/>
          <w:szCs w:val="20"/>
        </w:rPr>
        <w:t> </w:t>
      </w:r>
      <w:r w:rsidRPr="00B21438">
        <w:rPr>
          <w:rFonts w:ascii="Verdana" w:hAnsi="Verdana"/>
          <w:bCs/>
          <w:color w:val="000000"/>
          <w:sz w:val="20"/>
          <w:szCs w:val="20"/>
        </w:rPr>
        <w:t>8, 9, 10, 22, 23, 24</w:t>
      </w:r>
    </w:p>
    <w:p w:rsidR="00D34264" w:rsidRPr="00B21438" w:rsidRDefault="00D34264" w:rsidP="00D34264">
      <w:pPr>
        <w:pStyle w:val="NoSpacing"/>
        <w:spacing w:before="0" w:beforeAutospacing="0" w:after="0" w:afterAutospacing="0"/>
        <w:rPr>
          <w:rFonts w:ascii="Verdana" w:hAnsi="Verdana"/>
          <w:color w:val="000000"/>
          <w:sz w:val="20"/>
          <w:szCs w:val="20"/>
        </w:rPr>
      </w:pPr>
      <w:r w:rsidRPr="00B21438">
        <w:rPr>
          <w:rFonts w:ascii="Verdana" w:hAnsi="Verdana"/>
          <w:bCs/>
          <w:color w:val="000000"/>
          <w:sz w:val="20"/>
          <w:szCs w:val="20"/>
        </w:rPr>
        <w:t> </w:t>
      </w:r>
    </w:p>
    <w:p w:rsidR="00D34264" w:rsidRPr="00D34264" w:rsidRDefault="00D34264" w:rsidP="00D34264">
      <w:pPr>
        <w:pStyle w:val="NoSpacing"/>
        <w:spacing w:before="0" w:beforeAutospacing="0" w:after="0" w:afterAutospacing="0"/>
        <w:rPr>
          <w:rFonts w:ascii="Verdana" w:hAnsi="Verdana"/>
          <w:color w:val="000000"/>
          <w:sz w:val="20"/>
          <w:szCs w:val="20"/>
        </w:rPr>
      </w:pPr>
      <w:r w:rsidRPr="00B21438">
        <w:rPr>
          <w:rFonts w:ascii="Verdana" w:hAnsi="Verdana"/>
          <w:b/>
          <w:bCs/>
          <w:color w:val="000000"/>
          <w:sz w:val="20"/>
          <w:szCs w:val="20"/>
        </w:rPr>
        <w:t>June</w:t>
      </w:r>
      <w:r w:rsidRPr="00D34264">
        <w:rPr>
          <w:rFonts w:ascii="Verdana" w:hAnsi="Verdana"/>
          <w:b/>
          <w:bCs/>
          <w:color w:val="000000"/>
          <w:sz w:val="20"/>
          <w:szCs w:val="20"/>
        </w:rPr>
        <w:t>               </w:t>
      </w:r>
      <w:r w:rsidRPr="00D34264">
        <w:rPr>
          <w:rFonts w:ascii="Verdana" w:hAnsi="Verdana"/>
          <w:bCs/>
          <w:color w:val="000000"/>
          <w:sz w:val="20"/>
          <w:szCs w:val="20"/>
        </w:rPr>
        <w:t>5, 6, 7, 12, 13, 14, 19, 20, 21, 22, 26, 27, 28, 29, 30</w:t>
      </w: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rPr>
        <w:t> </w:t>
      </w: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rPr>
        <w:t> </w:t>
      </w:r>
    </w:p>
    <w:p w:rsidR="00B7758B" w:rsidRPr="006054DC" w:rsidRDefault="004A61A3" w:rsidP="00B7758B">
      <w:pPr>
        <w:pStyle w:val="NoSpacing"/>
        <w:spacing w:before="0" w:beforeAutospacing="0" w:after="0" w:afterAutospacing="0"/>
        <w:rPr>
          <w:rFonts w:ascii="Verdana" w:hAnsi="Verdana"/>
          <w:b/>
          <w:sz w:val="18"/>
          <w:szCs w:val="22"/>
        </w:rPr>
      </w:pPr>
      <w:r>
        <w:rPr>
          <w:rFonts w:ascii="Verdana" w:hAnsi="Verdana"/>
          <w:b/>
          <w:sz w:val="20"/>
        </w:rPr>
        <w:t>2017</w:t>
      </w:r>
      <w:r w:rsidR="00B7758B" w:rsidRPr="006054DC">
        <w:rPr>
          <w:rFonts w:ascii="Verdana" w:hAnsi="Verdana"/>
          <w:b/>
          <w:sz w:val="20"/>
        </w:rPr>
        <w:t xml:space="preserve"> HOUSE SESSION SCHEDULE</w:t>
      </w:r>
    </w:p>
    <w:p w:rsidR="00FA06A2" w:rsidRPr="00FA06A2" w:rsidRDefault="00B7758B" w:rsidP="00FA06A2">
      <w:pPr>
        <w:pStyle w:val="NoSpacing"/>
        <w:spacing w:before="0" w:beforeAutospacing="0" w:after="0" w:afterAutospacing="0"/>
        <w:rPr>
          <w:rFonts w:ascii="Verdana" w:hAnsi="Verdana"/>
          <w:sz w:val="18"/>
          <w:szCs w:val="22"/>
        </w:rPr>
      </w:pPr>
      <w:r w:rsidRPr="006054DC">
        <w:rPr>
          <w:rFonts w:ascii="Verdana" w:hAnsi="Verdana"/>
          <w:sz w:val="20"/>
        </w:rPr>
        <w:t> </w:t>
      </w:r>
    </w:p>
    <w:p w:rsidR="00FA06A2" w:rsidRPr="00B21438" w:rsidRDefault="00FA06A2" w:rsidP="00FA06A2">
      <w:pPr>
        <w:pStyle w:val="NoSpacing"/>
        <w:spacing w:before="0" w:beforeAutospacing="0" w:after="0" w:afterAutospacing="0"/>
        <w:rPr>
          <w:rFonts w:ascii="Verdana" w:hAnsi="Verdana"/>
          <w:color w:val="000000"/>
          <w:sz w:val="18"/>
          <w:szCs w:val="22"/>
        </w:rPr>
      </w:pPr>
      <w:r w:rsidRPr="00B21438">
        <w:rPr>
          <w:rFonts w:ascii="Verdana" w:hAnsi="Verdana"/>
          <w:b/>
          <w:bCs/>
          <w:color w:val="000000"/>
          <w:sz w:val="20"/>
        </w:rPr>
        <w:t>January         </w:t>
      </w:r>
      <w:r w:rsidRPr="00B21438">
        <w:rPr>
          <w:rStyle w:val="apple-converted-space"/>
          <w:rFonts w:ascii="Verdana" w:hAnsi="Verdana"/>
          <w:b/>
          <w:bCs/>
          <w:color w:val="000000"/>
          <w:sz w:val="20"/>
        </w:rPr>
        <w:t> </w:t>
      </w:r>
      <w:r w:rsidRPr="00B21438">
        <w:rPr>
          <w:rFonts w:ascii="Verdana" w:hAnsi="Verdana"/>
          <w:bCs/>
          <w:color w:val="000000"/>
          <w:sz w:val="20"/>
        </w:rPr>
        <w:t>3, 23, 24, 25</w:t>
      </w:r>
    </w:p>
    <w:p w:rsidR="00FA06A2" w:rsidRPr="00B21438" w:rsidRDefault="00FA06A2" w:rsidP="00FA06A2">
      <w:pPr>
        <w:pStyle w:val="NoSpacing"/>
        <w:spacing w:before="0" w:beforeAutospacing="0" w:after="0" w:afterAutospacing="0"/>
        <w:rPr>
          <w:rFonts w:ascii="Verdana" w:hAnsi="Verdana"/>
          <w:color w:val="000000"/>
          <w:sz w:val="18"/>
          <w:szCs w:val="22"/>
        </w:rPr>
      </w:pPr>
      <w:r w:rsidRPr="00B21438">
        <w:rPr>
          <w:rFonts w:ascii="Verdana" w:hAnsi="Verdana"/>
          <w:b/>
          <w:bCs/>
          <w:color w:val="000000"/>
          <w:sz w:val="20"/>
        </w:rPr>
        <w:t> </w:t>
      </w:r>
    </w:p>
    <w:p w:rsidR="00FA06A2" w:rsidRPr="00B21438" w:rsidRDefault="00FA06A2" w:rsidP="00FA06A2">
      <w:pPr>
        <w:pStyle w:val="NoSpacing"/>
        <w:spacing w:before="0" w:beforeAutospacing="0" w:after="0" w:afterAutospacing="0"/>
        <w:rPr>
          <w:rFonts w:ascii="Verdana" w:hAnsi="Verdana"/>
          <w:color w:val="000000"/>
          <w:sz w:val="18"/>
          <w:szCs w:val="22"/>
        </w:rPr>
      </w:pPr>
      <w:r w:rsidRPr="00B21438">
        <w:rPr>
          <w:rFonts w:ascii="Verdana" w:hAnsi="Verdana"/>
          <w:b/>
          <w:bCs/>
          <w:color w:val="000000"/>
          <w:sz w:val="20"/>
        </w:rPr>
        <w:t>February        </w:t>
      </w:r>
      <w:r w:rsidRPr="00B21438">
        <w:rPr>
          <w:rFonts w:ascii="Verdana" w:hAnsi="Verdana"/>
          <w:bCs/>
          <w:color w:val="000000"/>
          <w:sz w:val="20"/>
        </w:rPr>
        <w:t>6, 7, 8</w:t>
      </w:r>
    </w:p>
    <w:p w:rsidR="00FA06A2" w:rsidRPr="00B21438" w:rsidRDefault="00FA06A2" w:rsidP="00FA06A2">
      <w:pPr>
        <w:pStyle w:val="NoSpacing"/>
        <w:spacing w:before="0" w:beforeAutospacing="0" w:after="0" w:afterAutospacing="0"/>
        <w:rPr>
          <w:rFonts w:ascii="Verdana" w:hAnsi="Verdana"/>
          <w:color w:val="000000"/>
          <w:sz w:val="18"/>
          <w:szCs w:val="22"/>
        </w:rPr>
      </w:pPr>
      <w:r w:rsidRPr="00B21438">
        <w:rPr>
          <w:rFonts w:ascii="Verdana" w:hAnsi="Verdana"/>
          <w:b/>
          <w:bCs/>
          <w:color w:val="000000"/>
          <w:sz w:val="20"/>
        </w:rPr>
        <w:t> </w:t>
      </w:r>
    </w:p>
    <w:p w:rsidR="00FA06A2" w:rsidRPr="00B21438" w:rsidRDefault="00FA06A2" w:rsidP="00FA06A2">
      <w:pPr>
        <w:pStyle w:val="NoSpacing"/>
        <w:spacing w:before="0" w:beforeAutospacing="0" w:after="0" w:afterAutospacing="0"/>
        <w:rPr>
          <w:rFonts w:ascii="Verdana" w:hAnsi="Verdana"/>
          <w:color w:val="000000"/>
          <w:sz w:val="18"/>
          <w:szCs w:val="22"/>
        </w:rPr>
      </w:pPr>
      <w:r w:rsidRPr="00B21438">
        <w:rPr>
          <w:rFonts w:ascii="Verdana" w:hAnsi="Verdana"/>
          <w:b/>
          <w:bCs/>
          <w:color w:val="000000"/>
          <w:sz w:val="20"/>
        </w:rPr>
        <w:t>March            </w:t>
      </w:r>
      <w:r w:rsidRPr="00B21438">
        <w:rPr>
          <w:rFonts w:ascii="Verdana" w:hAnsi="Verdana"/>
          <w:bCs/>
          <w:color w:val="000000"/>
          <w:sz w:val="20"/>
        </w:rPr>
        <w:t>13, 14, 15, 20, 21, 22</w:t>
      </w:r>
    </w:p>
    <w:p w:rsidR="00FA06A2" w:rsidRPr="00B21438" w:rsidRDefault="00FA06A2" w:rsidP="00FA06A2">
      <w:pPr>
        <w:pStyle w:val="NoSpacing"/>
        <w:spacing w:before="0" w:beforeAutospacing="0" w:after="0" w:afterAutospacing="0"/>
        <w:rPr>
          <w:rFonts w:ascii="Verdana" w:hAnsi="Verdana"/>
          <w:color w:val="000000"/>
          <w:sz w:val="18"/>
          <w:szCs w:val="22"/>
        </w:rPr>
      </w:pPr>
      <w:r w:rsidRPr="00B21438">
        <w:rPr>
          <w:rFonts w:ascii="Verdana" w:hAnsi="Verdana"/>
          <w:b/>
          <w:bCs/>
          <w:color w:val="000000"/>
          <w:sz w:val="20"/>
        </w:rPr>
        <w:t> </w:t>
      </w:r>
    </w:p>
    <w:p w:rsidR="00FA06A2" w:rsidRPr="00B21438" w:rsidRDefault="00FA06A2" w:rsidP="00FA06A2">
      <w:pPr>
        <w:pStyle w:val="NoSpacing"/>
        <w:spacing w:before="0" w:beforeAutospacing="0" w:after="0" w:afterAutospacing="0"/>
        <w:rPr>
          <w:rFonts w:ascii="Verdana" w:hAnsi="Verdana"/>
          <w:color w:val="000000"/>
          <w:sz w:val="18"/>
          <w:szCs w:val="22"/>
        </w:rPr>
      </w:pPr>
      <w:r w:rsidRPr="00B21438">
        <w:rPr>
          <w:rFonts w:ascii="Verdana" w:hAnsi="Verdana"/>
          <w:b/>
          <w:bCs/>
          <w:color w:val="000000"/>
          <w:sz w:val="20"/>
        </w:rPr>
        <w:t>April               </w:t>
      </w:r>
      <w:r w:rsidRPr="00B21438">
        <w:rPr>
          <w:rFonts w:ascii="Verdana" w:hAnsi="Verdana"/>
          <w:bCs/>
          <w:color w:val="000000"/>
          <w:sz w:val="20"/>
        </w:rPr>
        <w:t>3, 4, 5, 18, 19, 24, 25, 26</w:t>
      </w:r>
    </w:p>
    <w:p w:rsidR="00FA06A2" w:rsidRPr="00B21438" w:rsidRDefault="00FA06A2" w:rsidP="00FA06A2">
      <w:pPr>
        <w:pStyle w:val="NoSpacing"/>
        <w:spacing w:before="0" w:beforeAutospacing="0" w:after="0" w:afterAutospacing="0"/>
        <w:rPr>
          <w:rFonts w:ascii="Verdana" w:hAnsi="Verdana"/>
          <w:color w:val="000000"/>
          <w:sz w:val="18"/>
          <w:szCs w:val="22"/>
        </w:rPr>
      </w:pPr>
      <w:r w:rsidRPr="00B21438">
        <w:rPr>
          <w:rFonts w:ascii="Verdana" w:hAnsi="Verdana"/>
          <w:b/>
          <w:bCs/>
          <w:color w:val="000000"/>
          <w:sz w:val="20"/>
        </w:rPr>
        <w:t> </w:t>
      </w:r>
    </w:p>
    <w:p w:rsidR="00FA06A2" w:rsidRPr="00B21438" w:rsidRDefault="00FA06A2" w:rsidP="00FA06A2">
      <w:pPr>
        <w:pStyle w:val="NoSpacing"/>
        <w:spacing w:before="0" w:beforeAutospacing="0" w:after="0" w:afterAutospacing="0"/>
        <w:rPr>
          <w:rFonts w:ascii="Verdana" w:hAnsi="Verdana"/>
          <w:color w:val="000000"/>
          <w:sz w:val="18"/>
          <w:szCs w:val="22"/>
        </w:rPr>
      </w:pPr>
      <w:r w:rsidRPr="00B21438">
        <w:rPr>
          <w:rFonts w:ascii="Verdana" w:hAnsi="Verdana"/>
          <w:b/>
          <w:bCs/>
          <w:color w:val="000000"/>
          <w:sz w:val="20"/>
        </w:rPr>
        <w:t>May               </w:t>
      </w:r>
      <w:r w:rsidRPr="00B21438">
        <w:rPr>
          <w:rStyle w:val="apple-converted-space"/>
          <w:rFonts w:ascii="Verdana" w:hAnsi="Verdana"/>
          <w:b/>
          <w:bCs/>
          <w:color w:val="000000"/>
          <w:sz w:val="20"/>
        </w:rPr>
        <w:t> </w:t>
      </w:r>
      <w:r w:rsidRPr="00B21438">
        <w:rPr>
          <w:rFonts w:ascii="Verdana" w:hAnsi="Verdana"/>
          <w:bCs/>
          <w:color w:val="000000"/>
          <w:sz w:val="20"/>
        </w:rPr>
        <w:t>8, 9, 10, 22, 23, 24</w:t>
      </w:r>
    </w:p>
    <w:p w:rsidR="00FA06A2" w:rsidRPr="00B21438" w:rsidRDefault="00FA06A2" w:rsidP="00FA06A2">
      <w:pPr>
        <w:pStyle w:val="NoSpacing"/>
        <w:spacing w:before="0" w:beforeAutospacing="0" w:after="0" w:afterAutospacing="0"/>
        <w:rPr>
          <w:rFonts w:ascii="Verdana" w:hAnsi="Verdana"/>
          <w:color w:val="000000"/>
          <w:sz w:val="18"/>
          <w:szCs w:val="22"/>
        </w:rPr>
      </w:pPr>
      <w:r w:rsidRPr="00B21438">
        <w:rPr>
          <w:rFonts w:ascii="Verdana" w:hAnsi="Verdana"/>
          <w:b/>
          <w:bCs/>
          <w:color w:val="000000"/>
          <w:sz w:val="20"/>
        </w:rPr>
        <w:t> </w:t>
      </w:r>
    </w:p>
    <w:p w:rsidR="00C61781" w:rsidRPr="002B66DB" w:rsidRDefault="00FA06A2" w:rsidP="002B66DB">
      <w:pPr>
        <w:pStyle w:val="NoSpacing"/>
        <w:spacing w:before="0" w:beforeAutospacing="0" w:after="0" w:afterAutospacing="0"/>
        <w:rPr>
          <w:rFonts w:ascii="Verdana" w:hAnsi="Verdana"/>
          <w:color w:val="000000"/>
          <w:sz w:val="18"/>
          <w:szCs w:val="22"/>
        </w:rPr>
      </w:pPr>
      <w:r w:rsidRPr="00B21438">
        <w:rPr>
          <w:rFonts w:ascii="Verdana" w:hAnsi="Verdana"/>
          <w:b/>
          <w:bCs/>
          <w:color w:val="000000"/>
          <w:sz w:val="20"/>
        </w:rPr>
        <w:t>June</w:t>
      </w:r>
      <w:r w:rsidRPr="00FA06A2">
        <w:rPr>
          <w:rFonts w:ascii="Verdana" w:hAnsi="Verdana"/>
          <w:b/>
          <w:bCs/>
          <w:color w:val="000000"/>
          <w:sz w:val="20"/>
        </w:rPr>
        <w:t>               </w:t>
      </w:r>
      <w:r w:rsidRPr="00FA06A2">
        <w:rPr>
          <w:rFonts w:ascii="Verdana" w:hAnsi="Verdana"/>
          <w:bCs/>
          <w:color w:val="000000"/>
          <w:sz w:val="20"/>
        </w:rPr>
        <w:t>5, 6, 7, 12, 13, 14, 19, 20, 21, 22, 26, 27, 28, 29, 30</w:t>
      </w:r>
    </w:p>
    <w:p w:rsidR="00023E77" w:rsidRDefault="00DA105A" w:rsidP="00023E77">
      <w:pPr>
        <w:spacing w:after="0" w:line="240" w:lineRule="auto"/>
        <w:rPr>
          <w:rFonts w:ascii="Verdana" w:eastAsia="Verdana" w:hAnsi="Verdana" w:cs="Verdana"/>
          <w:b/>
          <w:bCs/>
          <w:position w:val="-2"/>
          <w:u w:val="thick" w:color="000000"/>
        </w:rPr>
      </w:pPr>
      <w:r w:rsidRPr="006054DC">
        <w:rPr>
          <w:rFonts w:ascii="Verdana" w:eastAsia="Verdana" w:hAnsi="Verdana" w:cs="Verdana"/>
          <w:b/>
          <w:bCs/>
          <w:position w:val="-2"/>
          <w:u w:val="thick" w:color="000000"/>
        </w:rPr>
        <w:lastRenderedPageBreak/>
        <w:t>DEPARTMENT OF REVENUE UPDATE</w:t>
      </w:r>
    </w:p>
    <w:p w:rsidR="000425E8" w:rsidRDefault="000425E8" w:rsidP="00023E77">
      <w:pPr>
        <w:spacing w:after="0" w:line="240" w:lineRule="auto"/>
        <w:rPr>
          <w:rFonts w:ascii="Verdana" w:eastAsia="Verdana" w:hAnsi="Verdana" w:cs="Verdana"/>
          <w:b/>
          <w:bCs/>
          <w:position w:val="-2"/>
          <w:u w:val="thick" w:color="000000"/>
        </w:rPr>
      </w:pPr>
    </w:p>
    <w:p w:rsidR="00B05AB8" w:rsidRPr="00847559" w:rsidRDefault="00B05AB8" w:rsidP="005A3ACD">
      <w:pPr>
        <w:pStyle w:val="NormalWeb"/>
        <w:spacing w:before="0" w:beforeAutospacing="0" w:after="0" w:afterAutospacing="0"/>
        <w:rPr>
          <w:rFonts w:ascii="Verdana" w:hAnsi="Verdana"/>
          <w:color w:val="000000"/>
          <w:sz w:val="20"/>
          <w:szCs w:val="20"/>
        </w:rPr>
      </w:pPr>
      <w:r w:rsidRPr="00847559">
        <w:rPr>
          <w:rFonts w:ascii="Verdana" w:hAnsi="Verdana" w:cs="Arial"/>
          <w:b/>
          <w:bCs/>
          <w:color w:val="000000"/>
          <w:sz w:val="20"/>
          <w:szCs w:val="20"/>
        </w:rPr>
        <w:t>Revenue Department Releases November 2016 Collections</w:t>
      </w:r>
    </w:p>
    <w:p w:rsidR="00B05AB8" w:rsidRPr="00847559" w:rsidRDefault="00B05AB8" w:rsidP="00B05AB8">
      <w:pPr>
        <w:pStyle w:val="NormalWeb"/>
        <w:spacing w:before="0" w:beforeAutospacing="0" w:after="0" w:afterAutospacing="0"/>
        <w:jc w:val="center"/>
        <w:rPr>
          <w:rFonts w:ascii="Verdana" w:hAnsi="Verdana"/>
          <w:color w:val="000000"/>
          <w:sz w:val="20"/>
          <w:szCs w:val="20"/>
        </w:rPr>
      </w:pPr>
      <w:r w:rsidRPr="00847559">
        <w:rPr>
          <w:rFonts w:ascii="Verdana" w:hAnsi="Verdana" w:cs="Arial"/>
          <w:b/>
          <w:bCs/>
          <w:color w:val="000000"/>
          <w:sz w:val="20"/>
          <w:szCs w:val="20"/>
        </w:rPr>
        <w:t> </w:t>
      </w:r>
    </w:p>
    <w:p w:rsidR="00B05AB8" w:rsidRPr="00847559" w:rsidRDefault="00B05AB8" w:rsidP="00B05AB8">
      <w:pPr>
        <w:pStyle w:val="NormalWeb"/>
        <w:spacing w:before="0" w:beforeAutospacing="0" w:after="0" w:afterAutospacing="0"/>
        <w:rPr>
          <w:rFonts w:ascii="Verdana" w:hAnsi="Verdana"/>
          <w:color w:val="000000"/>
          <w:sz w:val="20"/>
          <w:szCs w:val="20"/>
        </w:rPr>
      </w:pPr>
      <w:r w:rsidRPr="00847559">
        <w:rPr>
          <w:rFonts w:ascii="Verdana" w:hAnsi="Verdana" w:cs="Arial"/>
          <w:color w:val="000000"/>
          <w:sz w:val="20"/>
          <w:szCs w:val="20"/>
        </w:rPr>
        <w:t>Pennsylvania collected $2 billion in General Fund revenue in November, which was $79.5 million, or 3.8 percent, less than anticipated, Secretary of Revenue Eileen McNulty reported. Fiscal year-to-date General Fund collections total $10.8 billion, which is $261.8 million, or 2.4 percent, below estimate.</w:t>
      </w:r>
      <w:r w:rsidR="00847559">
        <w:rPr>
          <w:rFonts w:ascii="Verdana" w:hAnsi="Verdana"/>
          <w:color w:val="000000"/>
          <w:sz w:val="20"/>
          <w:szCs w:val="20"/>
        </w:rPr>
        <w:t xml:space="preserve"> </w:t>
      </w:r>
      <w:r w:rsidRPr="00847559">
        <w:rPr>
          <w:rFonts w:ascii="Verdana" w:hAnsi="Verdana" w:cs="Arial"/>
          <w:color w:val="000000"/>
          <w:sz w:val="20"/>
          <w:szCs w:val="20"/>
        </w:rPr>
        <w:t>Sales tax receipts totaled $773.5 million for November, $51.9 million below estimate. Year-to-date sales tax collections total $4.1 billion, which is $122.2 million, or 2.9 percent, less than anticipated.</w:t>
      </w:r>
      <w:r w:rsidR="00847559">
        <w:rPr>
          <w:rFonts w:ascii="Verdana" w:hAnsi="Verdana"/>
          <w:color w:val="000000"/>
          <w:sz w:val="20"/>
          <w:szCs w:val="20"/>
        </w:rPr>
        <w:t xml:space="preserve"> </w:t>
      </w:r>
      <w:r w:rsidRPr="00847559">
        <w:rPr>
          <w:rFonts w:ascii="Verdana" w:hAnsi="Verdana" w:cs="Arial"/>
          <w:color w:val="000000"/>
          <w:sz w:val="20"/>
          <w:szCs w:val="20"/>
        </w:rPr>
        <w:t>Personal income tax (PIT) revenue in November was $865.9 million, $20.2 million below estimate. This brings year-to-date PIT collections to $4.5 billion, which is $81.1 million, or 1.8 percent, below estimate.  November corporation tax revenue of $31.9 million was $27 million below estimate. Year-to-date corporation tax collections total $807.2 million, which is $57 million, or 6.6 percent, below estimate.</w:t>
      </w:r>
      <w:r w:rsidR="00847559">
        <w:rPr>
          <w:rFonts w:ascii="Verdana" w:hAnsi="Verdana"/>
          <w:color w:val="000000"/>
          <w:sz w:val="20"/>
          <w:szCs w:val="20"/>
        </w:rPr>
        <w:t xml:space="preserve"> </w:t>
      </w:r>
      <w:r w:rsidRPr="00847559">
        <w:rPr>
          <w:rFonts w:ascii="Verdana" w:hAnsi="Verdana" w:cs="Arial"/>
          <w:color w:val="000000"/>
          <w:sz w:val="20"/>
          <w:szCs w:val="20"/>
        </w:rPr>
        <w:t>Inheritance tax revenue for the month was $68.5 million, $5 million below estimate, bringing the year-to-date total to $368.4 million, which is $14.5 million, or 3.8 percent, below estimate.</w:t>
      </w:r>
      <w:r w:rsidR="00847559">
        <w:rPr>
          <w:rFonts w:ascii="Verdana" w:hAnsi="Verdana"/>
          <w:color w:val="000000"/>
          <w:sz w:val="20"/>
          <w:szCs w:val="20"/>
        </w:rPr>
        <w:t xml:space="preserve"> </w:t>
      </w:r>
      <w:r w:rsidRPr="00847559">
        <w:rPr>
          <w:rFonts w:ascii="Verdana" w:hAnsi="Verdana" w:cs="Arial"/>
          <w:color w:val="000000"/>
          <w:sz w:val="20"/>
          <w:szCs w:val="20"/>
        </w:rPr>
        <w:t xml:space="preserve">Realty transfer tax revenue was $37.8 million for </w:t>
      </w:r>
      <w:proofErr w:type="gramStart"/>
      <w:r w:rsidRPr="00847559">
        <w:rPr>
          <w:rFonts w:ascii="Verdana" w:hAnsi="Verdana" w:cs="Arial"/>
          <w:color w:val="000000"/>
          <w:sz w:val="20"/>
          <w:szCs w:val="20"/>
        </w:rPr>
        <w:t>November,</w:t>
      </w:r>
      <w:proofErr w:type="gramEnd"/>
      <w:r w:rsidRPr="00847559">
        <w:rPr>
          <w:rFonts w:ascii="Verdana" w:hAnsi="Verdana" w:cs="Arial"/>
          <w:color w:val="000000"/>
          <w:sz w:val="20"/>
          <w:szCs w:val="20"/>
        </w:rPr>
        <w:t xml:space="preserve"> $1.8 million below estimate, bringing the fiscal-year total to $199.3 million, which is $28 million, or 12.3 percent, less than anticipated.</w:t>
      </w:r>
      <w:r w:rsidR="00847559">
        <w:rPr>
          <w:rFonts w:ascii="Verdana" w:hAnsi="Verdana"/>
          <w:color w:val="000000"/>
          <w:sz w:val="20"/>
          <w:szCs w:val="20"/>
        </w:rPr>
        <w:t xml:space="preserve"> </w:t>
      </w:r>
      <w:r w:rsidRPr="00847559">
        <w:rPr>
          <w:rFonts w:ascii="Verdana" w:hAnsi="Verdana" w:cs="Arial"/>
          <w:color w:val="000000"/>
          <w:sz w:val="20"/>
          <w:szCs w:val="20"/>
        </w:rPr>
        <w:t>Other General Fund tax revenue, including cigarette, other tobacco products, malt beverage, liquor and table games taxes, totaled $163 million for the month, $23.1 million below estimate and bringing the year-to-date total to $740.3 million, which is $8.1 million, or 1.1 percent, below estimate.</w:t>
      </w:r>
      <w:r w:rsidR="00847559">
        <w:rPr>
          <w:rFonts w:ascii="Verdana" w:hAnsi="Verdana"/>
          <w:color w:val="000000"/>
          <w:sz w:val="20"/>
          <w:szCs w:val="20"/>
        </w:rPr>
        <w:t xml:space="preserve"> </w:t>
      </w:r>
      <w:r w:rsidRPr="00847559">
        <w:rPr>
          <w:rFonts w:ascii="Verdana" w:hAnsi="Verdana" w:cs="Arial"/>
          <w:color w:val="000000"/>
          <w:sz w:val="20"/>
          <w:szCs w:val="20"/>
        </w:rPr>
        <w:t>Non-tax revenue totaled $46.5 million for the month, $49.5 million above estimate, bringing the year-to-date total to $109.7 million, which is $49.1 million, or 81.1 percent, above estimate.</w:t>
      </w:r>
      <w:r w:rsidR="00847559">
        <w:rPr>
          <w:rFonts w:ascii="Verdana" w:hAnsi="Verdana"/>
          <w:color w:val="000000"/>
          <w:sz w:val="20"/>
          <w:szCs w:val="20"/>
        </w:rPr>
        <w:t xml:space="preserve"> </w:t>
      </w:r>
      <w:r w:rsidRPr="00847559">
        <w:rPr>
          <w:rFonts w:ascii="Verdana" w:hAnsi="Verdana" w:cs="Arial"/>
          <w:color w:val="000000"/>
          <w:sz w:val="20"/>
          <w:szCs w:val="20"/>
        </w:rPr>
        <w:t>In addition to the General Fund collections, the Motor License Fund received $222.6 million for the month, $3.1 million below estimate. Fiscal year-to-date collections for the fund – which include the commonly known gas and diesel taxes, as well as other license, fine and fee revenues – total $1.1 billion, which is $7.9 million, or 0.7 percent, below estimate.</w:t>
      </w:r>
    </w:p>
    <w:p w:rsidR="000425E8" w:rsidRPr="000425E8" w:rsidRDefault="000425E8" w:rsidP="00023E77">
      <w:pPr>
        <w:spacing w:after="0" w:line="240" w:lineRule="auto"/>
        <w:rPr>
          <w:rStyle w:val="Strong"/>
          <w:rFonts w:ascii="Verdana" w:eastAsia="Verdana" w:hAnsi="Verdana" w:cs="Verdana"/>
          <w:position w:val="-2"/>
          <w:sz w:val="20"/>
        </w:rPr>
      </w:pPr>
    </w:p>
    <w:p w:rsidR="00A30C82" w:rsidRDefault="00A30C82" w:rsidP="000C6D28">
      <w:pPr>
        <w:rPr>
          <w:rFonts w:ascii="Verdana" w:eastAsia="Verdana" w:hAnsi="Verdana" w:cs="Verdana"/>
          <w:b/>
          <w:bCs/>
          <w:spacing w:val="1"/>
          <w:position w:val="-1"/>
          <w:u w:val="thick" w:color="000000"/>
        </w:rPr>
      </w:pPr>
    </w:p>
    <w:p w:rsidR="008E73A9" w:rsidRPr="00253C50" w:rsidRDefault="00635217" w:rsidP="000C6D28">
      <w:pPr>
        <w:rPr>
          <w:rFonts w:ascii="Verdana" w:eastAsia="Verdana" w:hAnsi="Verdana" w:cs="Verdana"/>
          <w:b/>
          <w:bCs/>
          <w:spacing w:val="1"/>
          <w:position w:val="-1"/>
          <w:sz w:val="20"/>
          <w:szCs w:val="20"/>
          <w:u w:val="thick" w:color="000000"/>
        </w:rPr>
      </w:pPr>
      <w:r w:rsidRPr="006054DC">
        <w:rPr>
          <w:rFonts w:ascii="Verdana" w:eastAsia="Verdana" w:hAnsi="Verdana" w:cs="Verdana"/>
          <w:b/>
          <w:bCs/>
          <w:spacing w:val="1"/>
          <w:position w:val="-1"/>
          <w:u w:val="thick" w:color="000000"/>
        </w:rPr>
        <w:t>IRRC UPDATES</w:t>
      </w:r>
    </w:p>
    <w:p w:rsidR="002B51AE" w:rsidRPr="002B51AE" w:rsidRDefault="000425E8" w:rsidP="00D34264">
      <w:pPr>
        <w:rPr>
          <w:rFonts w:ascii="Verdana" w:eastAsia="Verdana" w:hAnsi="Verdana" w:cs="Verdana"/>
          <w:spacing w:val="1"/>
          <w:position w:val="-1"/>
          <w:sz w:val="20"/>
          <w:szCs w:val="20"/>
        </w:rPr>
      </w:pPr>
      <w:r>
        <w:rPr>
          <w:rFonts w:ascii="Verdana" w:eastAsia="Verdana" w:hAnsi="Verdana" w:cs="Verdana"/>
          <w:spacing w:val="1"/>
          <w:position w:val="-1"/>
          <w:sz w:val="20"/>
          <w:szCs w:val="20"/>
        </w:rPr>
        <w:t>None</w:t>
      </w:r>
    </w:p>
    <w:sectPr w:rsidR="002B51AE" w:rsidRPr="002B51AE" w:rsidSect="00170164">
      <w:pgSz w:w="12240" w:h="15840"/>
      <w:pgMar w:top="1480" w:right="680" w:bottom="280" w:left="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6DB" w:rsidRDefault="002B66DB" w:rsidP="002B51AE">
      <w:pPr>
        <w:spacing w:after="0" w:line="240" w:lineRule="auto"/>
      </w:pPr>
      <w:r>
        <w:separator/>
      </w:r>
    </w:p>
  </w:endnote>
  <w:endnote w:type="continuationSeparator" w:id="0">
    <w:p w:rsidR="002B66DB" w:rsidRDefault="002B66DB" w:rsidP="002B5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6DB" w:rsidRDefault="002B66DB" w:rsidP="002B51AE">
      <w:pPr>
        <w:spacing w:after="0" w:line="240" w:lineRule="auto"/>
      </w:pPr>
      <w:r>
        <w:separator/>
      </w:r>
    </w:p>
  </w:footnote>
  <w:footnote w:type="continuationSeparator" w:id="0">
    <w:p w:rsidR="002B66DB" w:rsidRDefault="002B66DB" w:rsidP="002B5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1B17"/>
    <w:multiLevelType w:val="multilevel"/>
    <w:tmpl w:val="CFF6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A70D0"/>
    <w:multiLevelType w:val="multilevel"/>
    <w:tmpl w:val="68A2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21266"/>
    <w:multiLevelType w:val="multilevel"/>
    <w:tmpl w:val="0A76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876A2"/>
    <w:multiLevelType w:val="multilevel"/>
    <w:tmpl w:val="D348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15DE6"/>
    <w:multiLevelType w:val="multilevel"/>
    <w:tmpl w:val="1A1A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64D6C"/>
    <w:multiLevelType w:val="multilevel"/>
    <w:tmpl w:val="CFFE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196919"/>
    <w:multiLevelType w:val="hybridMultilevel"/>
    <w:tmpl w:val="4ECC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A515C"/>
    <w:multiLevelType w:val="multilevel"/>
    <w:tmpl w:val="FFE4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3E5B1D"/>
    <w:multiLevelType w:val="multilevel"/>
    <w:tmpl w:val="8800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B10CF5"/>
    <w:multiLevelType w:val="multilevel"/>
    <w:tmpl w:val="8FA0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5E4C82"/>
    <w:multiLevelType w:val="multilevel"/>
    <w:tmpl w:val="C8FC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2684D"/>
    <w:multiLevelType w:val="multilevel"/>
    <w:tmpl w:val="35DE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830CFF"/>
    <w:multiLevelType w:val="multilevel"/>
    <w:tmpl w:val="AF70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EF3EBB"/>
    <w:multiLevelType w:val="multilevel"/>
    <w:tmpl w:val="B6EE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9E649F"/>
    <w:multiLevelType w:val="multilevel"/>
    <w:tmpl w:val="DAB4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336970"/>
    <w:multiLevelType w:val="multilevel"/>
    <w:tmpl w:val="6964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B81B25"/>
    <w:multiLevelType w:val="multilevel"/>
    <w:tmpl w:val="3994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1E599C"/>
    <w:multiLevelType w:val="multilevel"/>
    <w:tmpl w:val="07E6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907936"/>
    <w:multiLevelType w:val="multilevel"/>
    <w:tmpl w:val="A3FE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43179C"/>
    <w:multiLevelType w:val="multilevel"/>
    <w:tmpl w:val="D4DC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7A3C4F"/>
    <w:multiLevelType w:val="multilevel"/>
    <w:tmpl w:val="D550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212AE0"/>
    <w:multiLevelType w:val="multilevel"/>
    <w:tmpl w:val="0BFC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163985"/>
    <w:multiLevelType w:val="multilevel"/>
    <w:tmpl w:val="BBF0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3B4AE3"/>
    <w:multiLevelType w:val="multilevel"/>
    <w:tmpl w:val="7286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F1160F"/>
    <w:multiLevelType w:val="multilevel"/>
    <w:tmpl w:val="EA76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242947"/>
    <w:multiLevelType w:val="multilevel"/>
    <w:tmpl w:val="8C70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4A5273"/>
    <w:multiLevelType w:val="multilevel"/>
    <w:tmpl w:val="7884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824826"/>
    <w:multiLevelType w:val="multilevel"/>
    <w:tmpl w:val="15D8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163B3D"/>
    <w:multiLevelType w:val="multilevel"/>
    <w:tmpl w:val="CC4C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18"/>
  </w:num>
  <w:num w:numId="4">
    <w:abstractNumId w:val="20"/>
  </w:num>
  <w:num w:numId="5">
    <w:abstractNumId w:val="14"/>
  </w:num>
  <w:num w:numId="6">
    <w:abstractNumId w:val="10"/>
  </w:num>
  <w:num w:numId="7">
    <w:abstractNumId w:val="22"/>
  </w:num>
  <w:num w:numId="8">
    <w:abstractNumId w:val="0"/>
  </w:num>
  <w:num w:numId="9">
    <w:abstractNumId w:val="24"/>
  </w:num>
  <w:num w:numId="10">
    <w:abstractNumId w:val="28"/>
  </w:num>
  <w:num w:numId="11">
    <w:abstractNumId w:val="1"/>
  </w:num>
  <w:num w:numId="12">
    <w:abstractNumId w:val="21"/>
  </w:num>
  <w:num w:numId="13">
    <w:abstractNumId w:val="19"/>
  </w:num>
  <w:num w:numId="14">
    <w:abstractNumId w:val="4"/>
  </w:num>
  <w:num w:numId="15">
    <w:abstractNumId w:val="23"/>
  </w:num>
  <w:num w:numId="16">
    <w:abstractNumId w:val="25"/>
  </w:num>
  <w:num w:numId="17">
    <w:abstractNumId w:val="13"/>
  </w:num>
  <w:num w:numId="18">
    <w:abstractNumId w:val="7"/>
  </w:num>
  <w:num w:numId="19">
    <w:abstractNumId w:val="3"/>
  </w:num>
  <w:num w:numId="20">
    <w:abstractNumId w:val="11"/>
  </w:num>
  <w:num w:numId="21">
    <w:abstractNumId w:val="16"/>
  </w:num>
  <w:num w:numId="22">
    <w:abstractNumId w:val="26"/>
  </w:num>
  <w:num w:numId="23">
    <w:abstractNumId w:val="5"/>
  </w:num>
  <w:num w:numId="24">
    <w:abstractNumId w:val="2"/>
  </w:num>
  <w:num w:numId="25">
    <w:abstractNumId w:val="9"/>
  </w:num>
  <w:num w:numId="26">
    <w:abstractNumId w:val="15"/>
  </w:num>
  <w:num w:numId="27">
    <w:abstractNumId w:val="8"/>
  </w:num>
  <w:num w:numId="28">
    <w:abstractNumId w:val="6"/>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35217"/>
    <w:rsid w:val="00002F3A"/>
    <w:rsid w:val="000235F5"/>
    <w:rsid w:val="00023E77"/>
    <w:rsid w:val="0004173E"/>
    <w:rsid w:val="000425E8"/>
    <w:rsid w:val="000518A3"/>
    <w:rsid w:val="000526EF"/>
    <w:rsid w:val="00055920"/>
    <w:rsid w:val="00076A8D"/>
    <w:rsid w:val="000976A0"/>
    <w:rsid w:val="00097B14"/>
    <w:rsid w:val="000B586C"/>
    <w:rsid w:val="000C299A"/>
    <w:rsid w:val="000C6D28"/>
    <w:rsid w:val="000D2B73"/>
    <w:rsid w:val="000D6B5C"/>
    <w:rsid w:val="000E6245"/>
    <w:rsid w:val="001118ED"/>
    <w:rsid w:val="00121446"/>
    <w:rsid w:val="00131054"/>
    <w:rsid w:val="00140CAD"/>
    <w:rsid w:val="00143C7B"/>
    <w:rsid w:val="00154145"/>
    <w:rsid w:val="00166BA1"/>
    <w:rsid w:val="00170164"/>
    <w:rsid w:val="001814ED"/>
    <w:rsid w:val="00186D31"/>
    <w:rsid w:val="00194B7E"/>
    <w:rsid w:val="001A20BE"/>
    <w:rsid w:val="001A7637"/>
    <w:rsid w:val="001B45A5"/>
    <w:rsid w:val="001F09DC"/>
    <w:rsid w:val="001F7154"/>
    <w:rsid w:val="00200FC9"/>
    <w:rsid w:val="00203B66"/>
    <w:rsid w:val="00215A27"/>
    <w:rsid w:val="00224F38"/>
    <w:rsid w:val="00253C50"/>
    <w:rsid w:val="00294A45"/>
    <w:rsid w:val="002A0C88"/>
    <w:rsid w:val="002B2E82"/>
    <w:rsid w:val="002B51AE"/>
    <w:rsid w:val="002B66DB"/>
    <w:rsid w:val="002B6E93"/>
    <w:rsid w:val="002C4E76"/>
    <w:rsid w:val="002C5C57"/>
    <w:rsid w:val="002E52C0"/>
    <w:rsid w:val="003055C5"/>
    <w:rsid w:val="00314A81"/>
    <w:rsid w:val="0035657F"/>
    <w:rsid w:val="00370CDE"/>
    <w:rsid w:val="00384891"/>
    <w:rsid w:val="0038781F"/>
    <w:rsid w:val="00396C70"/>
    <w:rsid w:val="003A1F7B"/>
    <w:rsid w:val="003B0F23"/>
    <w:rsid w:val="003C2D1A"/>
    <w:rsid w:val="003C4813"/>
    <w:rsid w:val="003D37AD"/>
    <w:rsid w:val="003D6151"/>
    <w:rsid w:val="003D68F9"/>
    <w:rsid w:val="003E26DC"/>
    <w:rsid w:val="003E34D4"/>
    <w:rsid w:val="003F3712"/>
    <w:rsid w:val="003F4495"/>
    <w:rsid w:val="003F6092"/>
    <w:rsid w:val="003F6EBE"/>
    <w:rsid w:val="004076EC"/>
    <w:rsid w:val="00423337"/>
    <w:rsid w:val="00431319"/>
    <w:rsid w:val="00453855"/>
    <w:rsid w:val="00460389"/>
    <w:rsid w:val="00490CD7"/>
    <w:rsid w:val="004A61A3"/>
    <w:rsid w:val="004A6F3A"/>
    <w:rsid w:val="004B08D2"/>
    <w:rsid w:val="004C2E6B"/>
    <w:rsid w:val="004D0567"/>
    <w:rsid w:val="004D7543"/>
    <w:rsid w:val="004F2B0F"/>
    <w:rsid w:val="00504AFB"/>
    <w:rsid w:val="00507EF9"/>
    <w:rsid w:val="005140EA"/>
    <w:rsid w:val="005234CC"/>
    <w:rsid w:val="00523E75"/>
    <w:rsid w:val="005274EB"/>
    <w:rsid w:val="00540CE3"/>
    <w:rsid w:val="00542F04"/>
    <w:rsid w:val="00583F40"/>
    <w:rsid w:val="005A0096"/>
    <w:rsid w:val="005A1AC3"/>
    <w:rsid w:val="005A3ACD"/>
    <w:rsid w:val="005B0EFA"/>
    <w:rsid w:val="005E523D"/>
    <w:rsid w:val="005F4EB3"/>
    <w:rsid w:val="005F7B72"/>
    <w:rsid w:val="006054DC"/>
    <w:rsid w:val="006060B4"/>
    <w:rsid w:val="00611C1D"/>
    <w:rsid w:val="00613A99"/>
    <w:rsid w:val="00620FCF"/>
    <w:rsid w:val="00621AE5"/>
    <w:rsid w:val="006315D4"/>
    <w:rsid w:val="00635217"/>
    <w:rsid w:val="00635A5D"/>
    <w:rsid w:val="00641CA5"/>
    <w:rsid w:val="006441F3"/>
    <w:rsid w:val="00653B95"/>
    <w:rsid w:val="00653F60"/>
    <w:rsid w:val="006773A8"/>
    <w:rsid w:val="00685B03"/>
    <w:rsid w:val="00686F92"/>
    <w:rsid w:val="00691EB4"/>
    <w:rsid w:val="006B3CC4"/>
    <w:rsid w:val="006C179B"/>
    <w:rsid w:val="006D0E19"/>
    <w:rsid w:val="006E09BB"/>
    <w:rsid w:val="006E29C7"/>
    <w:rsid w:val="006F1322"/>
    <w:rsid w:val="00707FAE"/>
    <w:rsid w:val="00716337"/>
    <w:rsid w:val="00724EF4"/>
    <w:rsid w:val="007279A6"/>
    <w:rsid w:val="00733ED1"/>
    <w:rsid w:val="007437CB"/>
    <w:rsid w:val="007507A2"/>
    <w:rsid w:val="0075375B"/>
    <w:rsid w:val="00767437"/>
    <w:rsid w:val="00776851"/>
    <w:rsid w:val="00784AC2"/>
    <w:rsid w:val="007B1A09"/>
    <w:rsid w:val="007D4B0C"/>
    <w:rsid w:val="00800329"/>
    <w:rsid w:val="008041E8"/>
    <w:rsid w:val="00805121"/>
    <w:rsid w:val="00812111"/>
    <w:rsid w:val="008162EB"/>
    <w:rsid w:val="00847559"/>
    <w:rsid w:val="0086034E"/>
    <w:rsid w:val="00865117"/>
    <w:rsid w:val="008703AE"/>
    <w:rsid w:val="0087225B"/>
    <w:rsid w:val="00874C40"/>
    <w:rsid w:val="008823BF"/>
    <w:rsid w:val="008A4209"/>
    <w:rsid w:val="008B3A44"/>
    <w:rsid w:val="008B4BEE"/>
    <w:rsid w:val="008C6D93"/>
    <w:rsid w:val="008D37BC"/>
    <w:rsid w:val="008D4EE7"/>
    <w:rsid w:val="008E25F0"/>
    <w:rsid w:val="008E58C1"/>
    <w:rsid w:val="008E6CF4"/>
    <w:rsid w:val="008E73A9"/>
    <w:rsid w:val="008F1FE5"/>
    <w:rsid w:val="008F7D42"/>
    <w:rsid w:val="00903938"/>
    <w:rsid w:val="00903E3A"/>
    <w:rsid w:val="009100A9"/>
    <w:rsid w:val="0091435A"/>
    <w:rsid w:val="009202BD"/>
    <w:rsid w:val="00922116"/>
    <w:rsid w:val="00945AB9"/>
    <w:rsid w:val="00946814"/>
    <w:rsid w:val="0096653C"/>
    <w:rsid w:val="0097620F"/>
    <w:rsid w:val="009922E3"/>
    <w:rsid w:val="009B7612"/>
    <w:rsid w:val="009B789B"/>
    <w:rsid w:val="009C0B75"/>
    <w:rsid w:val="00A00BAA"/>
    <w:rsid w:val="00A12F53"/>
    <w:rsid w:val="00A24E4A"/>
    <w:rsid w:val="00A24FFA"/>
    <w:rsid w:val="00A27E6A"/>
    <w:rsid w:val="00A30093"/>
    <w:rsid w:val="00A30C82"/>
    <w:rsid w:val="00A406DA"/>
    <w:rsid w:val="00A42FDA"/>
    <w:rsid w:val="00A43531"/>
    <w:rsid w:val="00A6076E"/>
    <w:rsid w:val="00A61A2D"/>
    <w:rsid w:val="00A8258F"/>
    <w:rsid w:val="00AA2C7C"/>
    <w:rsid w:val="00AC17C7"/>
    <w:rsid w:val="00AD1A37"/>
    <w:rsid w:val="00AE1D7F"/>
    <w:rsid w:val="00AE4E07"/>
    <w:rsid w:val="00AF0759"/>
    <w:rsid w:val="00B05AB8"/>
    <w:rsid w:val="00B069A2"/>
    <w:rsid w:val="00B125E8"/>
    <w:rsid w:val="00B17156"/>
    <w:rsid w:val="00B17C0E"/>
    <w:rsid w:val="00B21438"/>
    <w:rsid w:val="00B409D4"/>
    <w:rsid w:val="00B4665E"/>
    <w:rsid w:val="00B46F68"/>
    <w:rsid w:val="00B5082F"/>
    <w:rsid w:val="00B619CB"/>
    <w:rsid w:val="00B61E2C"/>
    <w:rsid w:val="00B66085"/>
    <w:rsid w:val="00B7758B"/>
    <w:rsid w:val="00B80F2C"/>
    <w:rsid w:val="00B83B8B"/>
    <w:rsid w:val="00B86F19"/>
    <w:rsid w:val="00B916B0"/>
    <w:rsid w:val="00B93874"/>
    <w:rsid w:val="00B94767"/>
    <w:rsid w:val="00B94988"/>
    <w:rsid w:val="00B96711"/>
    <w:rsid w:val="00BA6EDF"/>
    <w:rsid w:val="00BA7D7F"/>
    <w:rsid w:val="00BB062C"/>
    <w:rsid w:val="00BB67AD"/>
    <w:rsid w:val="00BB7266"/>
    <w:rsid w:val="00BC55D6"/>
    <w:rsid w:val="00BE0E0C"/>
    <w:rsid w:val="00BE27E7"/>
    <w:rsid w:val="00BE3A84"/>
    <w:rsid w:val="00BE61E4"/>
    <w:rsid w:val="00BE6BEC"/>
    <w:rsid w:val="00BE7EEB"/>
    <w:rsid w:val="00C45D89"/>
    <w:rsid w:val="00C52D63"/>
    <w:rsid w:val="00C61781"/>
    <w:rsid w:val="00C80813"/>
    <w:rsid w:val="00C82D24"/>
    <w:rsid w:val="00C87602"/>
    <w:rsid w:val="00CB7FA3"/>
    <w:rsid w:val="00CC6B4B"/>
    <w:rsid w:val="00CD4B38"/>
    <w:rsid w:val="00CF7BDD"/>
    <w:rsid w:val="00D000F7"/>
    <w:rsid w:val="00D02190"/>
    <w:rsid w:val="00D34264"/>
    <w:rsid w:val="00D354DA"/>
    <w:rsid w:val="00D40818"/>
    <w:rsid w:val="00D54E03"/>
    <w:rsid w:val="00D61E8F"/>
    <w:rsid w:val="00D654C2"/>
    <w:rsid w:val="00D8383A"/>
    <w:rsid w:val="00D96204"/>
    <w:rsid w:val="00DA105A"/>
    <w:rsid w:val="00DB4F85"/>
    <w:rsid w:val="00DC7092"/>
    <w:rsid w:val="00DD16BF"/>
    <w:rsid w:val="00DE7606"/>
    <w:rsid w:val="00DF4D53"/>
    <w:rsid w:val="00E007A7"/>
    <w:rsid w:val="00E02EC9"/>
    <w:rsid w:val="00E149F3"/>
    <w:rsid w:val="00E215FD"/>
    <w:rsid w:val="00E22FFA"/>
    <w:rsid w:val="00E4221B"/>
    <w:rsid w:val="00E45A4F"/>
    <w:rsid w:val="00E74A40"/>
    <w:rsid w:val="00E9028F"/>
    <w:rsid w:val="00E942E2"/>
    <w:rsid w:val="00E95F2F"/>
    <w:rsid w:val="00E961DF"/>
    <w:rsid w:val="00E9762A"/>
    <w:rsid w:val="00EC1064"/>
    <w:rsid w:val="00ED2E57"/>
    <w:rsid w:val="00ED4304"/>
    <w:rsid w:val="00ED5690"/>
    <w:rsid w:val="00F706E2"/>
    <w:rsid w:val="00F916EE"/>
    <w:rsid w:val="00F92081"/>
    <w:rsid w:val="00F97DE1"/>
    <w:rsid w:val="00FA06A2"/>
    <w:rsid w:val="00FC0351"/>
    <w:rsid w:val="00FC3883"/>
    <w:rsid w:val="00FD0055"/>
    <w:rsid w:val="00FD37F2"/>
    <w:rsid w:val="00FE39E3"/>
    <w:rsid w:val="00FF1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semiHidden/>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
    <w:name w:val="title"/>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
    <w:name w:val="date"/>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semiHidden/>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1AE"/>
  </w:style>
  <w:style w:type="paragraph" w:styleId="Footer">
    <w:name w:val="footer"/>
    <w:basedOn w:val="Normal"/>
    <w:link w:val="FooterChar"/>
    <w:uiPriority w:val="99"/>
    <w:semiHidden/>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 w:type="paragraph" w:customStyle="1" w:styleId="comment-text">
    <w:name w:val="comment-text"/>
    <w:basedOn w:val="Normal"/>
    <w:rsid w:val="000425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0425E8"/>
  </w:style>
  <w:style w:type="character" w:customStyle="1" w:styleId="storydate">
    <w:name w:val="storydate"/>
    <w:basedOn w:val="DefaultParagraphFont"/>
    <w:rsid w:val="000518A3"/>
  </w:style>
</w:styles>
</file>

<file path=word/webSettings.xml><?xml version="1.0" encoding="utf-8"?>
<w:webSettings xmlns:r="http://schemas.openxmlformats.org/officeDocument/2006/relationships" xmlns:w="http://schemas.openxmlformats.org/wordprocessingml/2006/main">
  <w:divs>
    <w:div w:id="14233050">
      <w:bodyDiv w:val="1"/>
      <w:marLeft w:val="0"/>
      <w:marRight w:val="0"/>
      <w:marTop w:val="0"/>
      <w:marBottom w:val="0"/>
      <w:divBdr>
        <w:top w:val="none" w:sz="0" w:space="0" w:color="auto"/>
        <w:left w:val="none" w:sz="0" w:space="0" w:color="auto"/>
        <w:bottom w:val="none" w:sz="0" w:space="0" w:color="auto"/>
        <w:right w:val="none" w:sz="0" w:space="0" w:color="auto"/>
      </w:divBdr>
      <w:divsChild>
        <w:div w:id="475604814">
          <w:marLeft w:val="0"/>
          <w:marRight w:val="0"/>
          <w:marTop w:val="0"/>
          <w:marBottom w:val="280"/>
          <w:divBdr>
            <w:top w:val="single" w:sz="4" w:space="8" w:color="C0C0C0"/>
            <w:left w:val="none" w:sz="0" w:space="0" w:color="auto"/>
            <w:bottom w:val="none" w:sz="0" w:space="0" w:color="auto"/>
            <w:right w:val="none" w:sz="0" w:space="0" w:color="auto"/>
          </w:divBdr>
        </w:div>
      </w:divsChild>
    </w:div>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 w:id="1928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634797723">
                  <w:marLeft w:val="0"/>
                  <w:marRight w:val="0"/>
                  <w:marTop w:val="0"/>
                  <w:marBottom w:val="0"/>
                  <w:divBdr>
                    <w:top w:val="none" w:sz="0" w:space="0" w:color="auto"/>
                    <w:left w:val="none" w:sz="0" w:space="0" w:color="auto"/>
                    <w:bottom w:val="none" w:sz="0" w:space="0" w:color="auto"/>
                    <w:right w:val="none" w:sz="0" w:space="0" w:color="auto"/>
                  </w:divBdr>
                </w:div>
                <w:div w:id="845704794">
                  <w:marLeft w:val="0"/>
                  <w:marRight w:val="0"/>
                  <w:marTop w:val="0"/>
                  <w:marBottom w:val="0"/>
                  <w:divBdr>
                    <w:top w:val="none" w:sz="0" w:space="0" w:color="auto"/>
                    <w:left w:val="none" w:sz="0" w:space="0" w:color="auto"/>
                    <w:bottom w:val="none" w:sz="0" w:space="0" w:color="auto"/>
                    <w:right w:val="none" w:sz="0" w:space="0" w:color="auto"/>
                  </w:divBdr>
                  <w:divsChild>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1654528476">
                                      <w:marLeft w:val="0"/>
                                      <w:marRight w:val="0"/>
                                      <w:marTop w:val="0"/>
                                      <w:marBottom w:val="0"/>
                                      <w:divBdr>
                                        <w:top w:val="none" w:sz="0" w:space="0" w:color="auto"/>
                                        <w:left w:val="none" w:sz="0" w:space="0" w:color="auto"/>
                                        <w:bottom w:val="none" w:sz="0" w:space="0" w:color="auto"/>
                                        <w:right w:val="none" w:sz="0" w:space="0" w:color="auto"/>
                                      </w:divBdr>
                                    </w:div>
                                    <w:div w:id="2087459828">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1950116510">
                                  <w:marLeft w:val="0"/>
                                  <w:marRight w:val="0"/>
                                  <w:marTop w:val="0"/>
                                  <w:marBottom w:val="0"/>
                                  <w:divBdr>
                                    <w:top w:val="none" w:sz="0" w:space="0" w:color="auto"/>
                                    <w:left w:val="none" w:sz="0" w:space="0" w:color="auto"/>
                                    <w:bottom w:val="none" w:sz="0" w:space="0" w:color="auto"/>
                                    <w:right w:val="none" w:sz="0" w:space="0" w:color="auto"/>
                                  </w:divBdr>
                                  <w:divsChild>
                                    <w:div w:id="906231854">
                                      <w:marLeft w:val="0"/>
                                      <w:marRight w:val="0"/>
                                      <w:marTop w:val="0"/>
                                      <w:marBottom w:val="0"/>
                                      <w:divBdr>
                                        <w:top w:val="none" w:sz="0" w:space="0" w:color="auto"/>
                                        <w:left w:val="none" w:sz="0" w:space="0" w:color="auto"/>
                                        <w:bottom w:val="none" w:sz="0" w:space="0" w:color="auto"/>
                                        <w:right w:val="none" w:sz="0" w:space="0" w:color="auto"/>
                                      </w:divBdr>
                                    </w:div>
                                    <w:div w:id="10806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783037874">
                              <w:marLeft w:val="0"/>
                              <w:marRight w:val="0"/>
                              <w:marTop w:val="0"/>
                              <w:marBottom w:val="0"/>
                              <w:divBdr>
                                <w:top w:val="none" w:sz="0" w:space="0" w:color="auto"/>
                                <w:left w:val="none" w:sz="0" w:space="0" w:color="auto"/>
                                <w:bottom w:val="none" w:sz="0" w:space="0" w:color="auto"/>
                                <w:right w:val="none" w:sz="0" w:space="0" w:color="auto"/>
                              </w:divBdr>
                            </w:div>
                            <w:div w:id="1020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129979202">
      <w:bodyDiv w:val="1"/>
      <w:marLeft w:val="0"/>
      <w:marRight w:val="0"/>
      <w:marTop w:val="0"/>
      <w:marBottom w:val="0"/>
      <w:divBdr>
        <w:top w:val="none" w:sz="0" w:space="0" w:color="auto"/>
        <w:left w:val="none" w:sz="0" w:space="0" w:color="auto"/>
        <w:bottom w:val="none" w:sz="0" w:space="0" w:color="auto"/>
        <w:right w:val="none" w:sz="0" w:space="0" w:color="auto"/>
      </w:divBdr>
      <w:divsChild>
        <w:div w:id="130294863">
          <w:marLeft w:val="0"/>
          <w:marRight w:val="0"/>
          <w:marTop w:val="188"/>
          <w:marBottom w:val="125"/>
          <w:divBdr>
            <w:top w:val="none" w:sz="0" w:space="0" w:color="auto"/>
            <w:left w:val="none" w:sz="0" w:space="0" w:color="auto"/>
            <w:bottom w:val="none" w:sz="0" w:space="0" w:color="auto"/>
            <w:right w:val="none" w:sz="0" w:space="0" w:color="auto"/>
          </w:divBdr>
        </w:div>
      </w:divsChild>
    </w:div>
    <w:div w:id="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054816844">
          <w:marLeft w:val="0"/>
          <w:marRight w:val="0"/>
          <w:marTop w:val="188"/>
          <w:marBottom w:val="125"/>
          <w:divBdr>
            <w:top w:val="none" w:sz="0" w:space="0" w:color="auto"/>
            <w:left w:val="none" w:sz="0" w:space="0" w:color="auto"/>
            <w:bottom w:val="none" w:sz="0" w:space="0" w:color="auto"/>
            <w:right w:val="none" w:sz="0" w:space="0" w:color="auto"/>
          </w:divBdr>
        </w:div>
      </w:divsChild>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60854976">
      <w:bodyDiv w:val="1"/>
      <w:marLeft w:val="0"/>
      <w:marRight w:val="0"/>
      <w:marTop w:val="0"/>
      <w:marBottom w:val="0"/>
      <w:divBdr>
        <w:top w:val="none" w:sz="0" w:space="0" w:color="auto"/>
        <w:left w:val="none" w:sz="0" w:space="0" w:color="auto"/>
        <w:bottom w:val="none" w:sz="0" w:space="0" w:color="auto"/>
        <w:right w:val="none" w:sz="0" w:space="0" w:color="auto"/>
      </w:divBdr>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1708604672">
                  <w:marLeft w:val="0"/>
                  <w:marRight w:val="0"/>
                  <w:marTop w:val="0"/>
                  <w:marBottom w:val="0"/>
                  <w:divBdr>
                    <w:top w:val="none" w:sz="0" w:space="0" w:color="auto"/>
                    <w:left w:val="none" w:sz="0" w:space="0" w:color="auto"/>
                    <w:bottom w:val="none" w:sz="0" w:space="0" w:color="auto"/>
                    <w:right w:val="none" w:sz="0" w:space="0" w:color="auto"/>
                  </w:divBdr>
                </w:div>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 w:id="1823542373">
                              <w:marLeft w:val="0"/>
                              <w:marRight w:val="0"/>
                              <w:marTop w:val="0"/>
                              <w:marBottom w:val="0"/>
                              <w:divBdr>
                                <w:top w:val="none" w:sz="0" w:space="0" w:color="auto"/>
                                <w:left w:val="none" w:sz="0" w:space="0" w:color="auto"/>
                                <w:bottom w:val="none" w:sz="0" w:space="0" w:color="auto"/>
                                <w:right w:val="none" w:sz="0" w:space="0" w:color="auto"/>
                              </w:divBdr>
                            </w:div>
                          </w:divsChild>
                        </w:div>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98854">
          <w:marLeft w:val="0"/>
          <w:marRight w:val="0"/>
          <w:marTop w:val="0"/>
          <w:marBottom w:val="0"/>
          <w:divBdr>
            <w:top w:val="none" w:sz="0" w:space="0" w:color="auto"/>
            <w:left w:val="none" w:sz="0" w:space="0" w:color="auto"/>
            <w:bottom w:val="none" w:sz="0" w:space="0" w:color="auto"/>
            <w:right w:val="none" w:sz="0" w:space="0" w:color="auto"/>
          </w:divBdr>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472020311">
              <w:marLeft w:val="0"/>
              <w:marRight w:val="0"/>
              <w:marTop w:val="0"/>
              <w:marBottom w:val="376"/>
              <w:divBdr>
                <w:top w:val="none" w:sz="0" w:space="0" w:color="auto"/>
                <w:left w:val="none" w:sz="0" w:space="0" w:color="auto"/>
                <w:bottom w:val="none" w:sz="0" w:space="0" w:color="auto"/>
                <w:right w:val="none" w:sz="0" w:space="0" w:color="auto"/>
              </w:divBdr>
            </w:div>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0558053">
      <w:bodyDiv w:val="1"/>
      <w:marLeft w:val="0"/>
      <w:marRight w:val="0"/>
      <w:marTop w:val="0"/>
      <w:marBottom w:val="0"/>
      <w:divBdr>
        <w:top w:val="none" w:sz="0" w:space="0" w:color="auto"/>
        <w:left w:val="none" w:sz="0" w:space="0" w:color="auto"/>
        <w:bottom w:val="none" w:sz="0" w:space="0" w:color="auto"/>
        <w:right w:val="none" w:sz="0" w:space="0" w:color="auto"/>
      </w:divBdr>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707">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240608">
          <w:marLeft w:val="0"/>
          <w:marRight w:val="0"/>
          <w:marTop w:val="0"/>
          <w:marBottom w:val="0"/>
          <w:divBdr>
            <w:top w:val="none" w:sz="0" w:space="0" w:color="auto"/>
            <w:left w:val="none" w:sz="0" w:space="0" w:color="auto"/>
            <w:bottom w:val="none" w:sz="0" w:space="0" w:color="auto"/>
            <w:right w:val="none" w:sz="0" w:space="0" w:color="auto"/>
          </w:divBdr>
        </w:div>
      </w:divsChild>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72516853">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286349874">
                                  <w:marLeft w:val="0"/>
                                  <w:marRight w:val="0"/>
                                  <w:marTop w:val="0"/>
                                  <w:marBottom w:val="0"/>
                                  <w:divBdr>
                                    <w:top w:val="none" w:sz="0" w:space="0" w:color="auto"/>
                                    <w:left w:val="none" w:sz="0" w:space="0" w:color="auto"/>
                                    <w:bottom w:val="none" w:sz="0" w:space="0" w:color="auto"/>
                                    <w:right w:val="none" w:sz="0" w:space="0" w:color="auto"/>
                                  </w:divBdr>
                                  <w:divsChild>
                                    <w:div w:id="33800081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1703549105">
                                      <w:marLeft w:val="0"/>
                                      <w:marRight w:val="0"/>
                                      <w:marTop w:val="0"/>
                                      <w:marBottom w:val="0"/>
                                      <w:divBdr>
                                        <w:top w:val="none" w:sz="0" w:space="0" w:color="auto"/>
                                        <w:left w:val="none" w:sz="0" w:space="0" w:color="auto"/>
                                        <w:bottom w:val="none" w:sz="0" w:space="0" w:color="auto"/>
                                        <w:right w:val="none" w:sz="0" w:space="0" w:color="auto"/>
                                      </w:divBdr>
                                    </w:div>
                                  </w:divsChild>
                                </w:div>
                                <w:div w:id="135803960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23239351">
      <w:bodyDiv w:val="1"/>
      <w:marLeft w:val="0"/>
      <w:marRight w:val="0"/>
      <w:marTop w:val="0"/>
      <w:marBottom w:val="0"/>
      <w:divBdr>
        <w:top w:val="none" w:sz="0" w:space="0" w:color="auto"/>
        <w:left w:val="none" w:sz="0" w:space="0" w:color="auto"/>
        <w:bottom w:val="none" w:sz="0" w:space="0" w:color="auto"/>
        <w:right w:val="none" w:sz="0" w:space="0" w:color="auto"/>
      </w:divBdr>
      <w:divsChild>
        <w:div w:id="270012484">
          <w:marLeft w:val="0"/>
          <w:marRight w:val="0"/>
          <w:marTop w:val="0"/>
          <w:marBottom w:val="0"/>
          <w:divBdr>
            <w:top w:val="none" w:sz="0" w:space="0" w:color="auto"/>
            <w:left w:val="none" w:sz="0" w:space="0" w:color="auto"/>
            <w:bottom w:val="none" w:sz="0" w:space="0" w:color="auto"/>
            <w:right w:val="none" w:sz="0" w:space="0" w:color="auto"/>
          </w:divBdr>
          <w:divsChild>
            <w:div w:id="662851857">
              <w:marLeft w:val="0"/>
              <w:marRight w:val="0"/>
              <w:marTop w:val="0"/>
              <w:marBottom w:val="0"/>
              <w:divBdr>
                <w:top w:val="none" w:sz="0" w:space="0" w:color="auto"/>
                <w:left w:val="none" w:sz="0" w:space="0" w:color="auto"/>
                <w:bottom w:val="none" w:sz="0" w:space="0" w:color="auto"/>
                <w:right w:val="none" w:sz="0" w:space="0" w:color="auto"/>
              </w:divBdr>
              <w:divsChild>
                <w:div w:id="35856247">
                  <w:marLeft w:val="0"/>
                  <w:marRight w:val="0"/>
                  <w:marTop w:val="0"/>
                  <w:marBottom w:val="0"/>
                  <w:divBdr>
                    <w:top w:val="none" w:sz="0" w:space="0" w:color="auto"/>
                    <w:left w:val="none" w:sz="0" w:space="0" w:color="auto"/>
                    <w:bottom w:val="none" w:sz="0" w:space="0" w:color="auto"/>
                    <w:right w:val="none" w:sz="0" w:space="0" w:color="auto"/>
                  </w:divBdr>
                  <w:divsChild>
                    <w:div w:id="1870797455">
                      <w:marLeft w:val="0"/>
                      <w:marRight w:val="0"/>
                      <w:marTop w:val="0"/>
                      <w:marBottom w:val="0"/>
                      <w:divBdr>
                        <w:top w:val="none" w:sz="0" w:space="0" w:color="auto"/>
                        <w:left w:val="none" w:sz="0" w:space="0" w:color="auto"/>
                        <w:bottom w:val="none" w:sz="0" w:space="0" w:color="auto"/>
                        <w:right w:val="none" w:sz="0" w:space="0" w:color="auto"/>
                      </w:divBdr>
                      <w:divsChild>
                        <w:div w:id="50807092">
                          <w:marLeft w:val="0"/>
                          <w:marRight w:val="0"/>
                          <w:marTop w:val="0"/>
                          <w:marBottom w:val="0"/>
                          <w:divBdr>
                            <w:top w:val="none" w:sz="0" w:space="0" w:color="auto"/>
                            <w:left w:val="none" w:sz="0" w:space="0" w:color="auto"/>
                            <w:bottom w:val="none" w:sz="0" w:space="0" w:color="auto"/>
                            <w:right w:val="none" w:sz="0" w:space="0" w:color="auto"/>
                          </w:divBdr>
                          <w:divsChild>
                            <w:div w:id="1578398331">
                              <w:marLeft w:val="0"/>
                              <w:marRight w:val="0"/>
                              <w:marTop w:val="0"/>
                              <w:marBottom w:val="0"/>
                              <w:divBdr>
                                <w:top w:val="none" w:sz="0" w:space="0" w:color="auto"/>
                                <w:left w:val="none" w:sz="0" w:space="0" w:color="auto"/>
                                <w:bottom w:val="none" w:sz="0" w:space="0" w:color="auto"/>
                                <w:right w:val="none" w:sz="0" w:space="0" w:color="auto"/>
                              </w:divBdr>
                              <w:divsChild>
                                <w:div w:id="772826515">
                                  <w:marLeft w:val="0"/>
                                  <w:marRight w:val="0"/>
                                  <w:marTop w:val="0"/>
                                  <w:marBottom w:val="0"/>
                                  <w:divBdr>
                                    <w:top w:val="single" w:sz="4" w:space="0" w:color="D1D2D4"/>
                                    <w:left w:val="none" w:sz="0" w:space="0" w:color="auto"/>
                                    <w:bottom w:val="single" w:sz="4" w:space="0" w:color="D1D2D4"/>
                                    <w:right w:val="none" w:sz="0" w:space="0" w:color="auto"/>
                                  </w:divBdr>
                                  <w:divsChild>
                                    <w:div w:id="108093501">
                                      <w:marLeft w:val="0"/>
                                      <w:marRight w:val="0"/>
                                      <w:marTop w:val="0"/>
                                      <w:marBottom w:val="0"/>
                                      <w:divBdr>
                                        <w:top w:val="none" w:sz="0" w:space="0" w:color="auto"/>
                                        <w:left w:val="none" w:sz="0" w:space="0" w:color="auto"/>
                                        <w:bottom w:val="none" w:sz="0" w:space="0" w:color="auto"/>
                                        <w:right w:val="none" w:sz="0" w:space="0" w:color="auto"/>
                                      </w:divBdr>
                                      <w:divsChild>
                                        <w:div w:id="1483816344">
                                          <w:marLeft w:val="0"/>
                                          <w:marRight w:val="0"/>
                                          <w:marTop w:val="0"/>
                                          <w:marBottom w:val="0"/>
                                          <w:divBdr>
                                            <w:top w:val="none" w:sz="0" w:space="0" w:color="auto"/>
                                            <w:left w:val="none" w:sz="0" w:space="0" w:color="auto"/>
                                            <w:bottom w:val="none" w:sz="0" w:space="0" w:color="auto"/>
                                            <w:right w:val="none" w:sz="0" w:space="0" w:color="auto"/>
                                          </w:divBdr>
                                        </w:div>
                                      </w:divsChild>
                                    </w:div>
                                    <w:div w:id="729693778">
                                      <w:marLeft w:val="0"/>
                                      <w:marRight w:val="0"/>
                                      <w:marTop w:val="0"/>
                                      <w:marBottom w:val="0"/>
                                      <w:divBdr>
                                        <w:top w:val="none" w:sz="0" w:space="0" w:color="auto"/>
                                        <w:left w:val="none" w:sz="0" w:space="0" w:color="auto"/>
                                        <w:bottom w:val="none" w:sz="0" w:space="0" w:color="auto"/>
                                        <w:right w:val="none" w:sz="0" w:space="0" w:color="auto"/>
                                      </w:divBdr>
                                    </w:div>
                                  </w:divsChild>
                                </w:div>
                                <w:div w:id="2067870501">
                                  <w:marLeft w:val="0"/>
                                  <w:marRight w:val="0"/>
                                  <w:marTop w:val="0"/>
                                  <w:marBottom w:val="0"/>
                                  <w:divBdr>
                                    <w:top w:val="none" w:sz="0" w:space="0" w:color="auto"/>
                                    <w:left w:val="none" w:sz="0" w:space="0" w:color="auto"/>
                                    <w:bottom w:val="none" w:sz="0" w:space="0" w:color="auto"/>
                                    <w:right w:val="none" w:sz="0" w:space="0" w:color="auto"/>
                                  </w:divBdr>
                                  <w:divsChild>
                                    <w:div w:id="152140044">
                                      <w:marLeft w:val="0"/>
                                      <w:marRight w:val="0"/>
                                      <w:marTop w:val="0"/>
                                      <w:marBottom w:val="0"/>
                                      <w:divBdr>
                                        <w:top w:val="none" w:sz="0" w:space="0" w:color="auto"/>
                                        <w:left w:val="none" w:sz="0" w:space="0" w:color="auto"/>
                                        <w:bottom w:val="none" w:sz="0" w:space="0" w:color="auto"/>
                                        <w:right w:val="none" w:sz="0" w:space="0" w:color="auto"/>
                                      </w:divBdr>
                                      <w:divsChild>
                                        <w:div w:id="1350181016">
                                          <w:marLeft w:val="0"/>
                                          <w:marRight w:val="0"/>
                                          <w:marTop w:val="0"/>
                                          <w:marBottom w:val="0"/>
                                          <w:divBdr>
                                            <w:top w:val="none" w:sz="0" w:space="0" w:color="auto"/>
                                            <w:left w:val="none" w:sz="0" w:space="0" w:color="auto"/>
                                            <w:bottom w:val="none" w:sz="0" w:space="0" w:color="auto"/>
                                            <w:right w:val="none" w:sz="0" w:space="0" w:color="auto"/>
                                          </w:divBdr>
                                          <w:divsChild>
                                            <w:div w:id="1789276883">
                                              <w:marLeft w:val="0"/>
                                              <w:marRight w:val="0"/>
                                              <w:marTop w:val="0"/>
                                              <w:marBottom w:val="0"/>
                                              <w:divBdr>
                                                <w:top w:val="none" w:sz="0" w:space="0" w:color="auto"/>
                                                <w:left w:val="none" w:sz="0" w:space="0" w:color="auto"/>
                                                <w:bottom w:val="none" w:sz="0" w:space="0" w:color="auto"/>
                                                <w:right w:val="none" w:sz="0" w:space="0" w:color="auto"/>
                                              </w:divBdr>
                                            </w:div>
                                          </w:divsChild>
                                        </w:div>
                                        <w:div w:id="19017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9213">
                  <w:marLeft w:val="0"/>
                  <w:marRight w:val="0"/>
                  <w:marTop w:val="0"/>
                  <w:marBottom w:val="0"/>
                  <w:divBdr>
                    <w:top w:val="none" w:sz="0" w:space="0" w:color="auto"/>
                    <w:left w:val="none" w:sz="0" w:space="0" w:color="auto"/>
                    <w:bottom w:val="none" w:sz="0" w:space="0" w:color="auto"/>
                    <w:right w:val="none" w:sz="0" w:space="0" w:color="auto"/>
                  </w:divBdr>
                  <w:divsChild>
                    <w:div w:id="1772969117">
                      <w:marLeft w:val="0"/>
                      <w:marRight w:val="0"/>
                      <w:marTop w:val="0"/>
                      <w:marBottom w:val="0"/>
                      <w:divBdr>
                        <w:top w:val="none" w:sz="0" w:space="0" w:color="auto"/>
                        <w:left w:val="none" w:sz="0" w:space="0" w:color="auto"/>
                        <w:bottom w:val="none" w:sz="0" w:space="0" w:color="auto"/>
                        <w:right w:val="none" w:sz="0" w:space="0" w:color="auto"/>
                      </w:divBdr>
                      <w:divsChild>
                        <w:div w:id="2064013404">
                          <w:marLeft w:val="0"/>
                          <w:marRight w:val="0"/>
                          <w:marTop w:val="0"/>
                          <w:marBottom w:val="0"/>
                          <w:divBdr>
                            <w:top w:val="none" w:sz="0" w:space="0" w:color="auto"/>
                            <w:left w:val="none" w:sz="0" w:space="0" w:color="auto"/>
                            <w:bottom w:val="none" w:sz="0" w:space="0" w:color="auto"/>
                            <w:right w:val="none" w:sz="0" w:space="0" w:color="auto"/>
                          </w:divBdr>
                          <w:divsChild>
                            <w:div w:id="1322274626">
                              <w:marLeft w:val="0"/>
                              <w:marRight w:val="0"/>
                              <w:marTop w:val="0"/>
                              <w:marBottom w:val="0"/>
                              <w:divBdr>
                                <w:top w:val="none" w:sz="0" w:space="0" w:color="auto"/>
                                <w:left w:val="none" w:sz="0" w:space="0" w:color="auto"/>
                                <w:bottom w:val="none" w:sz="0" w:space="0" w:color="auto"/>
                                <w:right w:val="none" w:sz="0" w:space="0" w:color="auto"/>
                              </w:divBdr>
                            </w:div>
                            <w:div w:id="1417751972">
                              <w:marLeft w:val="0"/>
                              <w:marRight w:val="0"/>
                              <w:marTop w:val="0"/>
                              <w:marBottom w:val="0"/>
                              <w:divBdr>
                                <w:top w:val="none" w:sz="0" w:space="0" w:color="auto"/>
                                <w:left w:val="none" w:sz="0" w:space="0" w:color="auto"/>
                                <w:bottom w:val="none" w:sz="0" w:space="0" w:color="auto"/>
                                <w:right w:val="none" w:sz="0" w:space="0" w:color="auto"/>
                              </w:divBdr>
                              <w:divsChild>
                                <w:div w:id="1093934314">
                                  <w:marLeft w:val="0"/>
                                  <w:marRight w:val="0"/>
                                  <w:marTop w:val="0"/>
                                  <w:marBottom w:val="0"/>
                                  <w:divBdr>
                                    <w:top w:val="none" w:sz="0" w:space="0" w:color="auto"/>
                                    <w:left w:val="none" w:sz="0" w:space="0" w:color="auto"/>
                                    <w:bottom w:val="none" w:sz="0" w:space="0" w:color="auto"/>
                                    <w:right w:val="none" w:sz="0" w:space="0" w:color="auto"/>
                                  </w:divBdr>
                                  <w:divsChild>
                                    <w:div w:id="986670399">
                                      <w:marLeft w:val="0"/>
                                      <w:marRight w:val="0"/>
                                      <w:marTop w:val="0"/>
                                      <w:marBottom w:val="0"/>
                                      <w:divBdr>
                                        <w:top w:val="none" w:sz="0" w:space="0" w:color="auto"/>
                                        <w:left w:val="none" w:sz="0" w:space="0" w:color="auto"/>
                                        <w:bottom w:val="none" w:sz="0" w:space="0" w:color="auto"/>
                                        <w:right w:val="none" w:sz="0" w:space="0" w:color="auto"/>
                                      </w:divBdr>
                                      <w:divsChild>
                                        <w:div w:id="1835602827">
                                          <w:marLeft w:val="0"/>
                                          <w:marRight w:val="0"/>
                                          <w:marTop w:val="0"/>
                                          <w:marBottom w:val="0"/>
                                          <w:divBdr>
                                            <w:top w:val="none" w:sz="0" w:space="0" w:color="auto"/>
                                            <w:left w:val="none" w:sz="0" w:space="0" w:color="auto"/>
                                            <w:bottom w:val="none" w:sz="0" w:space="0" w:color="auto"/>
                                            <w:right w:val="none" w:sz="0" w:space="0" w:color="auto"/>
                                          </w:divBdr>
                                          <w:divsChild>
                                            <w:div w:id="693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3931">
                  <w:marLeft w:val="0"/>
                  <w:marRight w:val="0"/>
                  <w:marTop w:val="0"/>
                  <w:marBottom w:val="0"/>
                  <w:divBdr>
                    <w:top w:val="none" w:sz="0" w:space="0" w:color="auto"/>
                    <w:left w:val="none" w:sz="0" w:space="0" w:color="auto"/>
                    <w:bottom w:val="none" w:sz="0" w:space="0" w:color="auto"/>
                    <w:right w:val="none" w:sz="0" w:space="0" w:color="auto"/>
                  </w:divBdr>
                </w:div>
                <w:div w:id="19565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821">
      <w:bodyDiv w:val="1"/>
      <w:marLeft w:val="0"/>
      <w:marRight w:val="0"/>
      <w:marTop w:val="0"/>
      <w:marBottom w:val="0"/>
      <w:divBdr>
        <w:top w:val="none" w:sz="0" w:space="0" w:color="auto"/>
        <w:left w:val="none" w:sz="0" w:space="0" w:color="auto"/>
        <w:bottom w:val="none" w:sz="0" w:space="0" w:color="auto"/>
        <w:right w:val="none" w:sz="0" w:space="0" w:color="auto"/>
      </w:divBdr>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227150951">
                  <w:marLeft w:val="0"/>
                  <w:marRight w:val="0"/>
                  <w:marTop w:val="0"/>
                  <w:marBottom w:val="0"/>
                  <w:divBdr>
                    <w:top w:val="none" w:sz="0" w:space="0" w:color="auto"/>
                    <w:left w:val="none" w:sz="0" w:space="0" w:color="auto"/>
                    <w:bottom w:val="none" w:sz="0" w:space="0" w:color="auto"/>
                    <w:right w:val="none" w:sz="0" w:space="0" w:color="auto"/>
                  </w:divBdr>
                </w:div>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 w:id="461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424420066">
      <w:bodyDiv w:val="1"/>
      <w:marLeft w:val="0"/>
      <w:marRight w:val="0"/>
      <w:marTop w:val="0"/>
      <w:marBottom w:val="0"/>
      <w:divBdr>
        <w:top w:val="none" w:sz="0" w:space="0" w:color="auto"/>
        <w:left w:val="none" w:sz="0" w:space="0" w:color="auto"/>
        <w:bottom w:val="none" w:sz="0" w:space="0" w:color="auto"/>
        <w:right w:val="none" w:sz="0" w:space="0" w:color="auto"/>
      </w:divBdr>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867529622">
              <w:marLeft w:val="0"/>
              <w:marRight w:val="0"/>
              <w:marTop w:val="138"/>
              <w:marBottom w:val="0"/>
              <w:divBdr>
                <w:top w:val="none" w:sz="0" w:space="0" w:color="auto"/>
                <w:left w:val="none" w:sz="0" w:space="0" w:color="auto"/>
                <w:bottom w:val="none" w:sz="0" w:space="0" w:color="auto"/>
                <w:right w:val="none" w:sz="0" w:space="0" w:color="auto"/>
              </w:divBdr>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012418903">
                      <w:marLeft w:val="250"/>
                      <w:marRight w:val="0"/>
                      <w:marTop w:val="25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17275810">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9673820">
                      <w:marLeft w:val="0"/>
                      <w:marRight w:val="75"/>
                      <w:marTop w:val="250"/>
                      <w:marBottom w:val="250"/>
                      <w:divBdr>
                        <w:top w:val="none" w:sz="0" w:space="0" w:color="auto"/>
                        <w:left w:val="none" w:sz="0" w:space="0" w:color="auto"/>
                        <w:bottom w:val="none" w:sz="0" w:space="0" w:color="auto"/>
                        <w:right w:val="none" w:sz="0" w:space="0" w:color="auto"/>
                      </w:divBdr>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181">
                          <w:marLeft w:val="0"/>
                          <w:marRight w:val="0"/>
                          <w:marTop w:val="0"/>
                          <w:marBottom w:val="0"/>
                          <w:divBdr>
                            <w:top w:val="none" w:sz="0" w:space="0" w:color="auto"/>
                            <w:left w:val="none" w:sz="0" w:space="0" w:color="auto"/>
                            <w:bottom w:val="none" w:sz="0" w:space="0" w:color="auto"/>
                            <w:right w:val="none" w:sz="0" w:space="0" w:color="auto"/>
                          </w:divBdr>
                        </w:div>
                      </w:divsChild>
                    </w:div>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651130985">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sChild>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338072127">
                                                  <w:marLeft w:val="0"/>
                                                  <w:marRight w:val="0"/>
                                                  <w:marTop w:val="0"/>
                                                  <w:marBottom w:val="0"/>
                                                  <w:divBdr>
                                                    <w:top w:val="none" w:sz="0" w:space="0" w:color="auto"/>
                                                    <w:left w:val="none" w:sz="0" w:space="0" w:color="auto"/>
                                                    <w:bottom w:val="none" w:sz="0" w:space="0" w:color="auto"/>
                                                    <w:right w:val="none" w:sz="0" w:space="0" w:color="auto"/>
                                                  </w:divBdr>
                                                </w:div>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sChild>
                                            </w:div>
                                          </w:divsChild>
                                        </w:div>
                                      </w:divsChild>
                                    </w:div>
                                  </w:divsChild>
                                </w:div>
                              </w:divsChild>
                            </w:div>
                          </w:divsChild>
                        </w:div>
                      </w:divsChild>
                    </w:div>
                  </w:divsChild>
                </w:div>
              </w:divsChild>
            </w:div>
          </w:divsChild>
        </w:div>
      </w:divsChild>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548956930">
                  <w:marLeft w:val="0"/>
                  <w:marRight w:val="0"/>
                  <w:marTop w:val="0"/>
                  <w:marBottom w:val="0"/>
                  <w:divBdr>
                    <w:top w:val="none" w:sz="0" w:space="0" w:color="auto"/>
                    <w:left w:val="none" w:sz="0" w:space="0" w:color="auto"/>
                    <w:bottom w:val="none" w:sz="0" w:space="0" w:color="auto"/>
                    <w:right w:val="none" w:sz="0" w:space="0" w:color="auto"/>
                  </w:divBdr>
                </w:div>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 w:id="2108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1615">
          <w:marLeft w:val="0"/>
          <w:marRight w:val="0"/>
          <w:marTop w:val="0"/>
          <w:marBottom w:val="0"/>
          <w:divBdr>
            <w:top w:val="none" w:sz="0" w:space="0" w:color="auto"/>
            <w:left w:val="none" w:sz="0" w:space="0" w:color="auto"/>
            <w:bottom w:val="none" w:sz="0" w:space="0" w:color="auto"/>
            <w:right w:val="none" w:sz="0" w:space="0" w:color="auto"/>
          </w:divBdr>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74417169">
                  <w:marLeft w:val="0"/>
                  <w:marRight w:val="0"/>
                  <w:marTop w:val="0"/>
                  <w:marBottom w:val="0"/>
                  <w:divBdr>
                    <w:top w:val="none" w:sz="0" w:space="0" w:color="auto"/>
                    <w:left w:val="none" w:sz="0" w:space="0" w:color="auto"/>
                    <w:bottom w:val="none" w:sz="0" w:space="0" w:color="auto"/>
                    <w:right w:val="none" w:sz="0" w:space="0" w:color="auto"/>
                  </w:divBdr>
                </w:div>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5484">
          <w:marLeft w:val="0"/>
          <w:marRight w:val="0"/>
          <w:marTop w:val="0"/>
          <w:marBottom w:val="0"/>
          <w:divBdr>
            <w:top w:val="none" w:sz="0" w:space="0" w:color="auto"/>
            <w:left w:val="none" w:sz="0" w:space="0" w:color="auto"/>
            <w:bottom w:val="none" w:sz="0" w:space="0" w:color="auto"/>
            <w:right w:val="none" w:sz="0" w:space="0" w:color="auto"/>
          </w:divBdr>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50406911">
      <w:bodyDiv w:val="1"/>
      <w:marLeft w:val="0"/>
      <w:marRight w:val="0"/>
      <w:marTop w:val="0"/>
      <w:marBottom w:val="0"/>
      <w:divBdr>
        <w:top w:val="none" w:sz="0" w:space="0" w:color="auto"/>
        <w:left w:val="none" w:sz="0" w:space="0" w:color="auto"/>
        <w:bottom w:val="none" w:sz="0" w:space="0" w:color="auto"/>
        <w:right w:val="none" w:sz="0" w:space="0" w:color="auto"/>
      </w:divBdr>
      <w:divsChild>
        <w:div w:id="230774698">
          <w:marLeft w:val="0"/>
          <w:marRight w:val="0"/>
          <w:marTop w:val="0"/>
          <w:marBottom w:val="0"/>
          <w:divBdr>
            <w:top w:val="none" w:sz="0" w:space="0" w:color="auto"/>
            <w:left w:val="none" w:sz="0" w:space="0" w:color="auto"/>
            <w:bottom w:val="none" w:sz="0" w:space="0" w:color="auto"/>
            <w:right w:val="none" w:sz="0" w:space="0" w:color="auto"/>
          </w:divBdr>
        </w:div>
      </w:divsChild>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541867460">
          <w:marLeft w:val="0"/>
          <w:marRight w:val="0"/>
          <w:marTop w:val="0"/>
          <w:marBottom w:val="0"/>
          <w:divBdr>
            <w:top w:val="none" w:sz="0" w:space="0" w:color="auto"/>
            <w:left w:val="none" w:sz="0" w:space="0" w:color="auto"/>
            <w:bottom w:val="none" w:sz="0" w:space="0" w:color="auto"/>
            <w:right w:val="none" w:sz="0" w:space="0" w:color="auto"/>
          </w:divBdr>
        </w:div>
        <w:div w:id="59324340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197160196">
              <w:marLeft w:val="0"/>
              <w:marRight w:val="0"/>
              <w:marTop w:val="0"/>
              <w:marBottom w:val="0"/>
              <w:divBdr>
                <w:top w:val="none" w:sz="0" w:space="0" w:color="auto"/>
                <w:left w:val="none" w:sz="0" w:space="0" w:color="auto"/>
                <w:bottom w:val="none" w:sz="0" w:space="0" w:color="auto"/>
                <w:right w:val="none" w:sz="0" w:space="0" w:color="auto"/>
              </w:divBdr>
            </w:div>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72015583">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55128544">
              <w:marLeft w:val="0"/>
              <w:marRight w:val="0"/>
              <w:marTop w:val="0"/>
              <w:marBottom w:val="0"/>
              <w:divBdr>
                <w:top w:val="none" w:sz="0" w:space="0" w:color="auto"/>
                <w:left w:val="none" w:sz="0" w:space="0" w:color="auto"/>
                <w:bottom w:val="none" w:sz="0" w:space="0" w:color="auto"/>
                <w:right w:val="none" w:sz="0" w:space="0" w:color="auto"/>
              </w:divBdr>
              <w:divsChild>
                <w:div w:id="1410889139">
                  <w:marLeft w:val="0"/>
                  <w:marRight w:val="0"/>
                  <w:marTop w:val="0"/>
                  <w:marBottom w:val="0"/>
                  <w:divBdr>
                    <w:top w:val="none" w:sz="0" w:space="0" w:color="auto"/>
                    <w:left w:val="none" w:sz="0" w:space="0" w:color="auto"/>
                    <w:bottom w:val="none" w:sz="0" w:space="0" w:color="auto"/>
                    <w:right w:val="none" w:sz="0" w:space="0" w:color="auto"/>
                  </w:divBdr>
                </w:div>
                <w:div w:id="2139100600">
                  <w:marLeft w:val="0"/>
                  <w:marRight w:val="0"/>
                  <w:marTop w:val="0"/>
                  <w:marBottom w:val="0"/>
                  <w:divBdr>
                    <w:top w:val="none" w:sz="0" w:space="0" w:color="auto"/>
                    <w:left w:val="none" w:sz="0" w:space="0" w:color="auto"/>
                    <w:bottom w:val="none" w:sz="0" w:space="0" w:color="auto"/>
                    <w:right w:val="none" w:sz="0" w:space="0" w:color="auto"/>
                  </w:divBdr>
                  <w:divsChild>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72435803">
                  <w:marLeft w:val="0"/>
                  <w:marRight w:val="0"/>
                  <w:marTop w:val="313"/>
                  <w:marBottom w:val="0"/>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2103136592">
                  <w:marLeft w:val="0"/>
                  <w:marRight w:val="0"/>
                  <w:marTop w:val="188"/>
                  <w:marBottom w:val="313"/>
                  <w:divBdr>
                    <w:top w:val="none" w:sz="0" w:space="0" w:color="auto"/>
                    <w:left w:val="none" w:sz="0" w:space="0" w:color="auto"/>
                    <w:bottom w:val="none" w:sz="0" w:space="0" w:color="auto"/>
                    <w:right w:val="none" w:sz="0" w:space="0" w:color="auto"/>
                  </w:divBdr>
                </w:div>
              </w:divsChild>
            </w:div>
          </w:divsChild>
        </w:div>
      </w:divsChild>
    </w:div>
    <w:div w:id="798303739">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27686385">
                                                  <w:marLeft w:val="0"/>
                                                  <w:marRight w:val="0"/>
                                                  <w:marTop w:val="0"/>
                                                  <w:marBottom w:val="0"/>
                                                  <w:divBdr>
                                                    <w:top w:val="none" w:sz="0" w:space="0" w:color="auto"/>
                                                    <w:left w:val="none" w:sz="0" w:space="0" w:color="auto"/>
                                                    <w:bottom w:val="none" w:sz="0" w:space="0" w:color="auto"/>
                                                    <w:right w:val="none" w:sz="0" w:space="0" w:color="auto"/>
                                                  </w:divBdr>
                                                </w:div>
                                                <w:div w:id="14477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81285564">
      <w:bodyDiv w:val="1"/>
      <w:marLeft w:val="0"/>
      <w:marRight w:val="0"/>
      <w:marTop w:val="0"/>
      <w:marBottom w:val="0"/>
      <w:divBdr>
        <w:top w:val="none" w:sz="0" w:space="0" w:color="auto"/>
        <w:left w:val="none" w:sz="0" w:space="0" w:color="auto"/>
        <w:bottom w:val="none" w:sz="0" w:space="0" w:color="auto"/>
        <w:right w:val="none" w:sz="0" w:space="0" w:color="auto"/>
      </w:divBdr>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52328219">
      <w:bodyDiv w:val="1"/>
      <w:marLeft w:val="0"/>
      <w:marRight w:val="0"/>
      <w:marTop w:val="0"/>
      <w:marBottom w:val="0"/>
      <w:divBdr>
        <w:top w:val="none" w:sz="0" w:space="0" w:color="auto"/>
        <w:left w:val="none" w:sz="0" w:space="0" w:color="auto"/>
        <w:bottom w:val="none" w:sz="0" w:space="0" w:color="auto"/>
        <w:right w:val="none" w:sz="0" w:space="0" w:color="auto"/>
      </w:divBdr>
    </w:div>
    <w:div w:id="955990301">
      <w:bodyDiv w:val="1"/>
      <w:marLeft w:val="0"/>
      <w:marRight w:val="0"/>
      <w:marTop w:val="0"/>
      <w:marBottom w:val="0"/>
      <w:divBdr>
        <w:top w:val="none" w:sz="0" w:space="0" w:color="auto"/>
        <w:left w:val="none" w:sz="0" w:space="0" w:color="auto"/>
        <w:bottom w:val="none" w:sz="0" w:space="0" w:color="auto"/>
        <w:right w:val="none" w:sz="0" w:space="0" w:color="auto"/>
      </w:divBdr>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1027178410">
      <w:bodyDiv w:val="1"/>
      <w:marLeft w:val="0"/>
      <w:marRight w:val="0"/>
      <w:marTop w:val="0"/>
      <w:marBottom w:val="0"/>
      <w:divBdr>
        <w:top w:val="none" w:sz="0" w:space="0" w:color="auto"/>
        <w:left w:val="none" w:sz="0" w:space="0" w:color="auto"/>
        <w:bottom w:val="none" w:sz="0" w:space="0" w:color="auto"/>
        <w:right w:val="none" w:sz="0" w:space="0" w:color="auto"/>
      </w:divBdr>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79328318">
      <w:bodyDiv w:val="1"/>
      <w:marLeft w:val="0"/>
      <w:marRight w:val="0"/>
      <w:marTop w:val="0"/>
      <w:marBottom w:val="0"/>
      <w:divBdr>
        <w:top w:val="none" w:sz="0" w:space="0" w:color="auto"/>
        <w:left w:val="none" w:sz="0" w:space="0" w:color="auto"/>
        <w:bottom w:val="none" w:sz="0" w:space="0" w:color="auto"/>
        <w:right w:val="none" w:sz="0" w:space="0" w:color="auto"/>
      </w:divBdr>
      <w:divsChild>
        <w:div w:id="1165974366">
          <w:marLeft w:val="0"/>
          <w:marRight w:val="0"/>
          <w:marTop w:val="0"/>
          <w:marBottom w:val="280"/>
          <w:divBdr>
            <w:top w:val="single" w:sz="4" w:space="8" w:color="C0C0C0"/>
            <w:left w:val="none" w:sz="0" w:space="0" w:color="auto"/>
            <w:bottom w:val="none" w:sz="0" w:space="0" w:color="auto"/>
            <w:right w:val="none" w:sz="0" w:space="0" w:color="auto"/>
          </w:divBdr>
        </w:div>
      </w:divsChild>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56384413">
      <w:bodyDiv w:val="1"/>
      <w:marLeft w:val="0"/>
      <w:marRight w:val="0"/>
      <w:marTop w:val="0"/>
      <w:marBottom w:val="0"/>
      <w:divBdr>
        <w:top w:val="none" w:sz="0" w:space="0" w:color="auto"/>
        <w:left w:val="none" w:sz="0" w:space="0" w:color="auto"/>
        <w:bottom w:val="none" w:sz="0" w:space="0" w:color="auto"/>
        <w:right w:val="none" w:sz="0" w:space="0" w:color="auto"/>
      </w:divBdr>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196622820">
      <w:bodyDiv w:val="1"/>
      <w:marLeft w:val="0"/>
      <w:marRight w:val="0"/>
      <w:marTop w:val="0"/>
      <w:marBottom w:val="0"/>
      <w:divBdr>
        <w:top w:val="none" w:sz="0" w:space="0" w:color="auto"/>
        <w:left w:val="none" w:sz="0" w:space="0" w:color="auto"/>
        <w:bottom w:val="none" w:sz="0" w:space="0" w:color="auto"/>
        <w:right w:val="none" w:sz="0" w:space="0" w:color="auto"/>
      </w:divBdr>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686298266">
                      <w:marLeft w:val="0"/>
                      <w:marRight w:val="0"/>
                      <w:marTop w:val="0"/>
                      <w:marBottom w:val="0"/>
                      <w:divBdr>
                        <w:top w:val="none" w:sz="0" w:space="0" w:color="auto"/>
                        <w:left w:val="none" w:sz="0" w:space="0" w:color="auto"/>
                        <w:bottom w:val="none" w:sz="0" w:space="0" w:color="auto"/>
                        <w:right w:val="none" w:sz="0" w:space="0" w:color="auto"/>
                      </w:divBdr>
                    </w:div>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285961632">
      <w:bodyDiv w:val="1"/>
      <w:marLeft w:val="0"/>
      <w:marRight w:val="0"/>
      <w:marTop w:val="0"/>
      <w:marBottom w:val="0"/>
      <w:divBdr>
        <w:top w:val="none" w:sz="0" w:space="0" w:color="auto"/>
        <w:left w:val="none" w:sz="0" w:space="0" w:color="auto"/>
        <w:bottom w:val="none" w:sz="0" w:space="0" w:color="auto"/>
        <w:right w:val="none" w:sz="0" w:space="0" w:color="auto"/>
      </w:divBdr>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56230598">
      <w:bodyDiv w:val="1"/>
      <w:marLeft w:val="0"/>
      <w:marRight w:val="0"/>
      <w:marTop w:val="0"/>
      <w:marBottom w:val="0"/>
      <w:divBdr>
        <w:top w:val="none" w:sz="0" w:space="0" w:color="auto"/>
        <w:left w:val="none" w:sz="0" w:space="0" w:color="auto"/>
        <w:bottom w:val="none" w:sz="0" w:space="0" w:color="auto"/>
        <w:right w:val="none" w:sz="0" w:space="0" w:color="auto"/>
      </w:divBdr>
    </w:div>
    <w:div w:id="1360006778">
      <w:bodyDiv w:val="1"/>
      <w:marLeft w:val="0"/>
      <w:marRight w:val="0"/>
      <w:marTop w:val="0"/>
      <w:marBottom w:val="0"/>
      <w:divBdr>
        <w:top w:val="none" w:sz="0" w:space="0" w:color="auto"/>
        <w:left w:val="none" w:sz="0" w:space="0" w:color="auto"/>
        <w:bottom w:val="none" w:sz="0" w:space="0" w:color="auto"/>
        <w:right w:val="none" w:sz="0" w:space="0" w:color="auto"/>
      </w:divBdr>
      <w:divsChild>
        <w:div w:id="1023750266">
          <w:marLeft w:val="-188"/>
          <w:marRight w:val="-188"/>
          <w:marTop w:val="0"/>
          <w:marBottom w:val="0"/>
          <w:divBdr>
            <w:top w:val="none" w:sz="0" w:space="0" w:color="auto"/>
            <w:left w:val="none" w:sz="0" w:space="0" w:color="auto"/>
            <w:bottom w:val="none" w:sz="0" w:space="0" w:color="auto"/>
            <w:right w:val="none" w:sz="0" w:space="0" w:color="auto"/>
          </w:divBdr>
          <w:divsChild>
            <w:div w:id="886841905">
              <w:marLeft w:val="0"/>
              <w:marRight w:val="0"/>
              <w:marTop w:val="0"/>
              <w:marBottom w:val="0"/>
              <w:divBdr>
                <w:top w:val="none" w:sz="0" w:space="0" w:color="auto"/>
                <w:left w:val="none" w:sz="0" w:space="0" w:color="auto"/>
                <w:bottom w:val="none" w:sz="0" w:space="0" w:color="auto"/>
                <w:right w:val="none" w:sz="0" w:space="0" w:color="auto"/>
              </w:divBdr>
              <w:divsChild>
                <w:div w:id="636568438">
                  <w:marLeft w:val="0"/>
                  <w:marRight w:val="0"/>
                  <w:marTop w:val="0"/>
                  <w:marBottom w:val="0"/>
                  <w:divBdr>
                    <w:top w:val="none" w:sz="0" w:space="0" w:color="auto"/>
                    <w:left w:val="none" w:sz="0" w:space="0" w:color="auto"/>
                    <w:bottom w:val="none" w:sz="0" w:space="0" w:color="auto"/>
                    <w:right w:val="none" w:sz="0" w:space="0" w:color="auto"/>
                  </w:divBdr>
                  <w:divsChild>
                    <w:div w:id="122891818">
                      <w:marLeft w:val="-188"/>
                      <w:marRight w:val="-188"/>
                      <w:marTop w:val="0"/>
                      <w:marBottom w:val="0"/>
                      <w:divBdr>
                        <w:top w:val="none" w:sz="0" w:space="0" w:color="auto"/>
                        <w:left w:val="none" w:sz="0" w:space="0" w:color="auto"/>
                        <w:bottom w:val="none" w:sz="0" w:space="0" w:color="auto"/>
                        <w:right w:val="none" w:sz="0" w:space="0" w:color="auto"/>
                      </w:divBdr>
                      <w:divsChild>
                        <w:div w:id="995958723">
                          <w:marLeft w:val="0"/>
                          <w:marRight w:val="0"/>
                          <w:marTop w:val="0"/>
                          <w:marBottom w:val="0"/>
                          <w:divBdr>
                            <w:top w:val="none" w:sz="0" w:space="0" w:color="auto"/>
                            <w:left w:val="none" w:sz="0" w:space="0" w:color="auto"/>
                            <w:bottom w:val="none" w:sz="0" w:space="0" w:color="auto"/>
                            <w:right w:val="none" w:sz="0" w:space="0" w:color="auto"/>
                          </w:divBdr>
                          <w:divsChild>
                            <w:div w:id="1013415800">
                              <w:marLeft w:val="0"/>
                              <w:marRight w:val="0"/>
                              <w:marTop w:val="0"/>
                              <w:marBottom w:val="0"/>
                              <w:divBdr>
                                <w:top w:val="none" w:sz="0" w:space="0" w:color="auto"/>
                                <w:left w:val="none" w:sz="0" w:space="0" w:color="auto"/>
                                <w:bottom w:val="none" w:sz="0" w:space="0" w:color="auto"/>
                                <w:right w:val="none" w:sz="0" w:space="0" w:color="auto"/>
                              </w:divBdr>
                              <w:divsChild>
                                <w:div w:id="1117675539">
                                  <w:marLeft w:val="0"/>
                                  <w:marRight w:val="0"/>
                                  <w:marTop w:val="0"/>
                                  <w:marBottom w:val="250"/>
                                  <w:divBdr>
                                    <w:top w:val="none" w:sz="0" w:space="0" w:color="auto"/>
                                    <w:left w:val="none" w:sz="0" w:space="0" w:color="auto"/>
                                    <w:bottom w:val="none" w:sz="0" w:space="0" w:color="auto"/>
                                    <w:right w:val="none" w:sz="0" w:space="0" w:color="auto"/>
                                  </w:divBdr>
                                </w:div>
                                <w:div w:id="1609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12075">
          <w:marLeft w:val="0"/>
          <w:marRight w:val="0"/>
          <w:marTop w:val="250"/>
          <w:marBottom w:val="501"/>
          <w:divBdr>
            <w:top w:val="none" w:sz="0" w:space="0" w:color="auto"/>
            <w:left w:val="none" w:sz="0" w:space="0" w:color="auto"/>
            <w:bottom w:val="none" w:sz="0" w:space="0" w:color="auto"/>
            <w:right w:val="none" w:sz="0" w:space="0" w:color="auto"/>
          </w:divBdr>
          <w:divsChild>
            <w:div w:id="84231354">
              <w:marLeft w:val="0"/>
              <w:marRight w:val="1252"/>
              <w:marTop w:val="250"/>
              <w:marBottom w:val="0"/>
              <w:divBdr>
                <w:top w:val="none" w:sz="0" w:space="0" w:color="auto"/>
                <w:left w:val="none" w:sz="0" w:space="0" w:color="auto"/>
                <w:bottom w:val="none" w:sz="0" w:space="0" w:color="auto"/>
                <w:right w:val="none" w:sz="0" w:space="0" w:color="auto"/>
              </w:divBdr>
            </w:div>
            <w:div w:id="854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349331188">
          <w:marLeft w:val="0"/>
          <w:marRight w:val="0"/>
          <w:marTop w:val="0"/>
          <w:marBottom w:val="0"/>
          <w:divBdr>
            <w:top w:val="none" w:sz="0" w:space="0" w:color="auto"/>
            <w:left w:val="none" w:sz="0" w:space="0" w:color="auto"/>
            <w:bottom w:val="none" w:sz="0" w:space="0" w:color="auto"/>
            <w:right w:val="none" w:sz="0" w:space="0" w:color="auto"/>
          </w:divBdr>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299">
          <w:marLeft w:val="0"/>
          <w:marRight w:val="0"/>
          <w:marTop w:val="0"/>
          <w:marBottom w:val="0"/>
          <w:divBdr>
            <w:top w:val="none" w:sz="0" w:space="0" w:color="auto"/>
            <w:left w:val="none" w:sz="0" w:space="0" w:color="auto"/>
            <w:bottom w:val="none" w:sz="0" w:space="0" w:color="auto"/>
            <w:right w:val="none" w:sz="0" w:space="0" w:color="auto"/>
          </w:divBdr>
        </w:div>
      </w:divsChild>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15205424">
          <w:marLeft w:val="0"/>
          <w:marRight w:val="0"/>
          <w:marTop w:val="0"/>
          <w:marBottom w:val="0"/>
          <w:divBdr>
            <w:top w:val="none" w:sz="0" w:space="0" w:color="auto"/>
            <w:left w:val="none" w:sz="0" w:space="0" w:color="auto"/>
            <w:bottom w:val="none" w:sz="0" w:space="0" w:color="auto"/>
            <w:right w:val="none" w:sz="0" w:space="0" w:color="auto"/>
          </w:divBdr>
        </w:div>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 w:id="2082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488549697">
      <w:bodyDiv w:val="1"/>
      <w:marLeft w:val="0"/>
      <w:marRight w:val="0"/>
      <w:marTop w:val="0"/>
      <w:marBottom w:val="0"/>
      <w:divBdr>
        <w:top w:val="none" w:sz="0" w:space="0" w:color="auto"/>
        <w:left w:val="none" w:sz="0" w:space="0" w:color="auto"/>
        <w:bottom w:val="none" w:sz="0" w:space="0" w:color="auto"/>
        <w:right w:val="none" w:sz="0" w:space="0" w:color="auto"/>
      </w:divBdr>
    </w:div>
    <w:div w:id="1505588870">
      <w:bodyDiv w:val="1"/>
      <w:marLeft w:val="0"/>
      <w:marRight w:val="0"/>
      <w:marTop w:val="0"/>
      <w:marBottom w:val="0"/>
      <w:divBdr>
        <w:top w:val="none" w:sz="0" w:space="0" w:color="auto"/>
        <w:left w:val="none" w:sz="0" w:space="0" w:color="auto"/>
        <w:bottom w:val="none" w:sz="0" w:space="0" w:color="auto"/>
        <w:right w:val="none" w:sz="0" w:space="0" w:color="auto"/>
      </w:divBdr>
    </w:div>
    <w:div w:id="1515076666">
      <w:bodyDiv w:val="1"/>
      <w:marLeft w:val="0"/>
      <w:marRight w:val="0"/>
      <w:marTop w:val="0"/>
      <w:marBottom w:val="0"/>
      <w:divBdr>
        <w:top w:val="none" w:sz="0" w:space="0" w:color="auto"/>
        <w:left w:val="none" w:sz="0" w:space="0" w:color="auto"/>
        <w:bottom w:val="none" w:sz="0" w:space="0" w:color="auto"/>
        <w:right w:val="none" w:sz="0" w:space="0" w:color="auto"/>
      </w:divBdr>
    </w:div>
    <w:div w:id="1532378399">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44713619">
      <w:bodyDiv w:val="1"/>
      <w:marLeft w:val="0"/>
      <w:marRight w:val="0"/>
      <w:marTop w:val="0"/>
      <w:marBottom w:val="0"/>
      <w:divBdr>
        <w:top w:val="none" w:sz="0" w:space="0" w:color="auto"/>
        <w:left w:val="none" w:sz="0" w:space="0" w:color="auto"/>
        <w:bottom w:val="none" w:sz="0" w:space="0" w:color="auto"/>
        <w:right w:val="none" w:sz="0" w:space="0" w:color="auto"/>
      </w:divBdr>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38492230">
      <w:bodyDiv w:val="1"/>
      <w:marLeft w:val="0"/>
      <w:marRight w:val="0"/>
      <w:marTop w:val="0"/>
      <w:marBottom w:val="0"/>
      <w:divBdr>
        <w:top w:val="none" w:sz="0" w:space="0" w:color="auto"/>
        <w:left w:val="none" w:sz="0" w:space="0" w:color="auto"/>
        <w:bottom w:val="none" w:sz="0" w:space="0" w:color="auto"/>
        <w:right w:val="none" w:sz="0" w:space="0" w:color="auto"/>
      </w:divBdr>
    </w:div>
    <w:div w:id="1657223672">
      <w:bodyDiv w:val="1"/>
      <w:marLeft w:val="0"/>
      <w:marRight w:val="0"/>
      <w:marTop w:val="0"/>
      <w:marBottom w:val="0"/>
      <w:divBdr>
        <w:top w:val="none" w:sz="0" w:space="0" w:color="auto"/>
        <w:left w:val="none" w:sz="0" w:space="0" w:color="auto"/>
        <w:bottom w:val="none" w:sz="0" w:space="0" w:color="auto"/>
        <w:right w:val="none" w:sz="0" w:space="0" w:color="auto"/>
      </w:divBdr>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31532413">
      <w:bodyDiv w:val="1"/>
      <w:marLeft w:val="0"/>
      <w:marRight w:val="0"/>
      <w:marTop w:val="0"/>
      <w:marBottom w:val="0"/>
      <w:divBdr>
        <w:top w:val="none" w:sz="0" w:space="0" w:color="auto"/>
        <w:left w:val="none" w:sz="0" w:space="0" w:color="auto"/>
        <w:bottom w:val="none" w:sz="0" w:space="0" w:color="auto"/>
        <w:right w:val="none" w:sz="0" w:space="0" w:color="auto"/>
      </w:divBdr>
      <w:divsChild>
        <w:div w:id="1155417809">
          <w:marLeft w:val="0"/>
          <w:marRight w:val="0"/>
          <w:marTop w:val="0"/>
          <w:marBottom w:val="280"/>
          <w:divBdr>
            <w:top w:val="single" w:sz="4" w:space="8" w:color="C0C0C0"/>
            <w:left w:val="none" w:sz="0" w:space="0" w:color="auto"/>
            <w:bottom w:val="none" w:sz="0" w:space="0" w:color="auto"/>
            <w:right w:val="none" w:sz="0" w:space="0" w:color="auto"/>
          </w:divBdr>
        </w:div>
      </w:divsChild>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 w:id="1142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78599406">
                                  <w:marLeft w:val="0"/>
                                  <w:marRight w:val="0"/>
                                  <w:marTop w:val="0"/>
                                  <w:marBottom w:val="0"/>
                                  <w:divBdr>
                                    <w:top w:val="none" w:sz="0" w:space="0" w:color="auto"/>
                                    <w:left w:val="none" w:sz="0" w:space="0" w:color="auto"/>
                                    <w:bottom w:val="none" w:sz="0" w:space="0" w:color="auto"/>
                                    <w:right w:val="none" w:sz="0" w:space="0" w:color="auto"/>
                                  </w:divBdr>
                                </w:div>
                                <w:div w:id="12882736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86">
      <w:bodyDiv w:val="1"/>
      <w:marLeft w:val="0"/>
      <w:marRight w:val="0"/>
      <w:marTop w:val="0"/>
      <w:marBottom w:val="0"/>
      <w:divBdr>
        <w:top w:val="none" w:sz="0" w:space="0" w:color="auto"/>
        <w:left w:val="none" w:sz="0" w:space="0" w:color="auto"/>
        <w:bottom w:val="none" w:sz="0" w:space="0" w:color="auto"/>
        <w:right w:val="none" w:sz="0" w:space="0" w:color="auto"/>
      </w:divBdr>
      <w:divsChild>
        <w:div w:id="592319167">
          <w:marLeft w:val="0"/>
          <w:marRight w:val="0"/>
          <w:marTop w:val="0"/>
          <w:marBottom w:val="0"/>
          <w:divBdr>
            <w:top w:val="none" w:sz="0" w:space="0" w:color="B32025"/>
            <w:left w:val="none" w:sz="0" w:space="0" w:color="B32025"/>
            <w:bottom w:val="single" w:sz="12" w:space="3" w:color="666666"/>
            <w:right w:val="none" w:sz="0" w:space="0" w:color="B32025"/>
          </w:divBdr>
        </w:div>
        <w:div w:id="815299223">
          <w:marLeft w:val="0"/>
          <w:marRight w:val="0"/>
          <w:marTop w:val="225"/>
          <w:marBottom w:val="250"/>
          <w:divBdr>
            <w:top w:val="single" w:sz="4" w:space="0" w:color="CCCCCC"/>
            <w:left w:val="none" w:sz="0" w:space="0" w:color="auto"/>
            <w:bottom w:val="single" w:sz="4" w:space="0" w:color="CCCCCC"/>
            <w:right w:val="none" w:sz="0" w:space="0" w:color="auto"/>
          </w:divBdr>
          <w:divsChild>
            <w:div w:id="293758124">
              <w:marLeft w:val="0"/>
              <w:marRight w:val="0"/>
              <w:marTop w:val="0"/>
              <w:marBottom w:val="0"/>
              <w:divBdr>
                <w:top w:val="none" w:sz="0" w:space="0" w:color="auto"/>
                <w:left w:val="none" w:sz="0" w:space="0" w:color="auto"/>
                <w:bottom w:val="none" w:sz="0" w:space="0" w:color="auto"/>
                <w:right w:val="none" w:sz="0" w:space="0" w:color="auto"/>
              </w:divBdr>
            </w:div>
          </w:divsChild>
        </w:div>
        <w:div w:id="1148208035">
          <w:marLeft w:val="0"/>
          <w:marRight w:val="0"/>
          <w:marTop w:val="0"/>
          <w:marBottom w:val="0"/>
          <w:divBdr>
            <w:top w:val="none" w:sz="0" w:space="0" w:color="auto"/>
            <w:left w:val="none" w:sz="0" w:space="0" w:color="auto"/>
            <w:bottom w:val="none" w:sz="0" w:space="0" w:color="auto"/>
            <w:right w:val="none" w:sz="0" w:space="0" w:color="auto"/>
          </w:divBdr>
        </w:div>
      </w:divsChild>
    </w:div>
    <w:div w:id="1789884310">
      <w:bodyDiv w:val="1"/>
      <w:marLeft w:val="0"/>
      <w:marRight w:val="0"/>
      <w:marTop w:val="0"/>
      <w:marBottom w:val="0"/>
      <w:divBdr>
        <w:top w:val="none" w:sz="0" w:space="0" w:color="auto"/>
        <w:left w:val="none" w:sz="0" w:space="0" w:color="auto"/>
        <w:bottom w:val="none" w:sz="0" w:space="0" w:color="auto"/>
        <w:right w:val="none" w:sz="0" w:space="0" w:color="auto"/>
      </w:divBdr>
      <w:divsChild>
        <w:div w:id="467361458">
          <w:marLeft w:val="0"/>
          <w:marRight w:val="0"/>
          <w:marTop w:val="0"/>
          <w:marBottom w:val="0"/>
          <w:divBdr>
            <w:top w:val="none" w:sz="0" w:space="0" w:color="auto"/>
            <w:left w:val="none" w:sz="0" w:space="0" w:color="auto"/>
            <w:bottom w:val="none" w:sz="0" w:space="0" w:color="auto"/>
            <w:right w:val="none" w:sz="0" w:space="0" w:color="auto"/>
          </w:divBdr>
        </w:div>
        <w:div w:id="1058282940">
          <w:marLeft w:val="0"/>
          <w:marRight w:val="0"/>
          <w:marTop w:val="0"/>
          <w:marBottom w:val="376"/>
          <w:divBdr>
            <w:top w:val="none" w:sz="0" w:space="0" w:color="auto"/>
            <w:left w:val="none" w:sz="0" w:space="0" w:color="auto"/>
            <w:bottom w:val="none" w:sz="0" w:space="0" w:color="auto"/>
            <w:right w:val="none" w:sz="0" w:space="0" w:color="auto"/>
          </w:divBdr>
          <w:divsChild>
            <w:div w:id="1731928381">
              <w:marLeft w:val="0"/>
              <w:marRight w:val="0"/>
              <w:marTop w:val="0"/>
              <w:marBottom w:val="0"/>
              <w:divBdr>
                <w:top w:val="none" w:sz="0" w:space="0" w:color="auto"/>
                <w:left w:val="none" w:sz="0" w:space="0" w:color="auto"/>
                <w:bottom w:val="none" w:sz="0" w:space="0" w:color="auto"/>
                <w:right w:val="none" w:sz="0" w:space="0" w:color="auto"/>
              </w:divBdr>
              <w:divsChild>
                <w:div w:id="822310429">
                  <w:marLeft w:val="0"/>
                  <w:marRight w:val="0"/>
                  <w:marTop w:val="0"/>
                  <w:marBottom w:val="0"/>
                  <w:divBdr>
                    <w:top w:val="none" w:sz="0" w:space="0" w:color="auto"/>
                    <w:left w:val="none" w:sz="0" w:space="0" w:color="auto"/>
                    <w:bottom w:val="none" w:sz="0" w:space="0" w:color="auto"/>
                    <w:right w:val="none" w:sz="0" w:space="0" w:color="auto"/>
                  </w:divBdr>
                  <w:divsChild>
                    <w:div w:id="2105221934">
                      <w:marLeft w:val="0"/>
                      <w:marRight w:val="0"/>
                      <w:marTop w:val="0"/>
                      <w:marBottom w:val="0"/>
                      <w:divBdr>
                        <w:top w:val="none" w:sz="0" w:space="0" w:color="auto"/>
                        <w:left w:val="none" w:sz="0" w:space="0" w:color="auto"/>
                        <w:bottom w:val="none" w:sz="0" w:space="0" w:color="auto"/>
                        <w:right w:val="none" w:sz="0" w:space="0" w:color="auto"/>
                      </w:divBdr>
                      <w:divsChild>
                        <w:div w:id="1963657964">
                          <w:marLeft w:val="0"/>
                          <w:marRight w:val="0"/>
                          <w:marTop w:val="0"/>
                          <w:marBottom w:val="0"/>
                          <w:divBdr>
                            <w:top w:val="none" w:sz="0" w:space="0" w:color="auto"/>
                            <w:left w:val="none" w:sz="0" w:space="0" w:color="auto"/>
                            <w:bottom w:val="none" w:sz="0" w:space="0" w:color="auto"/>
                            <w:right w:val="none" w:sz="0" w:space="0" w:color="auto"/>
                          </w:divBdr>
                          <w:divsChild>
                            <w:div w:id="995455717">
                              <w:marLeft w:val="0"/>
                              <w:marRight w:val="0"/>
                              <w:marTop w:val="0"/>
                              <w:marBottom w:val="0"/>
                              <w:divBdr>
                                <w:top w:val="none" w:sz="0" w:space="0" w:color="auto"/>
                                <w:left w:val="none" w:sz="0" w:space="0" w:color="auto"/>
                                <w:bottom w:val="none" w:sz="0" w:space="0" w:color="auto"/>
                                <w:right w:val="none" w:sz="0" w:space="0" w:color="auto"/>
                              </w:divBdr>
                              <w:divsChild>
                                <w:div w:id="249704209">
                                  <w:marLeft w:val="0"/>
                                  <w:marRight w:val="0"/>
                                  <w:marTop w:val="38"/>
                                  <w:marBottom w:val="50"/>
                                  <w:divBdr>
                                    <w:top w:val="none" w:sz="0" w:space="0" w:color="auto"/>
                                    <w:left w:val="none" w:sz="0" w:space="0" w:color="auto"/>
                                    <w:bottom w:val="none" w:sz="0" w:space="0" w:color="auto"/>
                                    <w:right w:val="none" w:sz="0" w:space="0" w:color="auto"/>
                                  </w:divBdr>
                                </w:div>
                              </w:divsChild>
                            </w:div>
                          </w:divsChild>
                        </w:div>
                      </w:divsChild>
                    </w:div>
                  </w:divsChild>
                </w:div>
                <w:div w:id="909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873">
          <w:marLeft w:val="0"/>
          <w:marRight w:val="0"/>
          <w:marTop w:val="0"/>
          <w:marBottom w:val="250"/>
          <w:divBdr>
            <w:top w:val="none" w:sz="0" w:space="0" w:color="auto"/>
            <w:left w:val="none" w:sz="0" w:space="0" w:color="auto"/>
            <w:bottom w:val="none" w:sz="0" w:space="0" w:color="auto"/>
            <w:right w:val="none" w:sz="0" w:space="0" w:color="auto"/>
          </w:divBdr>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133723624">
                      <w:marLeft w:val="-1002"/>
                      <w:marRight w:val="0"/>
                      <w:marTop w:val="0"/>
                      <w:marBottom w:val="0"/>
                      <w:divBdr>
                        <w:top w:val="none" w:sz="0" w:space="0" w:color="auto"/>
                        <w:left w:val="none" w:sz="0" w:space="0" w:color="auto"/>
                        <w:bottom w:val="none" w:sz="0" w:space="0" w:color="auto"/>
                        <w:right w:val="none" w:sz="0" w:space="0" w:color="auto"/>
                      </w:divBdr>
                    </w:div>
                    <w:div w:id="295986219">
                      <w:marLeft w:val="0"/>
                      <w:marRight w:val="0"/>
                      <w:marTop w:val="0"/>
                      <w:marBottom w:val="188"/>
                      <w:divBdr>
                        <w:top w:val="none" w:sz="0" w:space="0" w:color="auto"/>
                        <w:left w:val="none" w:sz="0" w:space="0" w:color="auto"/>
                        <w:bottom w:val="single" w:sz="12" w:space="2" w:color="888888"/>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874341731">
      <w:bodyDiv w:val="1"/>
      <w:marLeft w:val="0"/>
      <w:marRight w:val="0"/>
      <w:marTop w:val="0"/>
      <w:marBottom w:val="0"/>
      <w:divBdr>
        <w:top w:val="none" w:sz="0" w:space="0" w:color="auto"/>
        <w:left w:val="none" w:sz="0" w:space="0" w:color="auto"/>
        <w:bottom w:val="none" w:sz="0" w:space="0" w:color="auto"/>
        <w:right w:val="none" w:sz="0" w:space="0" w:color="auto"/>
      </w:divBdr>
    </w:div>
    <w:div w:id="1893538667">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70547874">
              <w:marLeft w:val="0"/>
              <w:marRight w:val="0"/>
              <w:marTop w:val="0"/>
              <w:marBottom w:val="376"/>
              <w:divBdr>
                <w:top w:val="none" w:sz="0" w:space="0" w:color="auto"/>
                <w:left w:val="none" w:sz="0" w:space="0" w:color="auto"/>
                <w:bottom w:val="none" w:sz="0" w:space="0" w:color="auto"/>
                <w:right w:val="none" w:sz="0" w:space="0" w:color="auto"/>
              </w:divBdr>
              <w:divsChild>
                <w:div w:id="123231639">
                  <w:marLeft w:val="2129"/>
                  <w:marRight w:val="0"/>
                  <w:marTop w:val="0"/>
                  <w:marBottom w:val="0"/>
                  <w:divBdr>
                    <w:top w:val="none" w:sz="0" w:space="0" w:color="auto"/>
                    <w:left w:val="none" w:sz="0" w:space="0" w:color="auto"/>
                    <w:bottom w:val="none" w:sz="0" w:space="0" w:color="auto"/>
                    <w:right w:val="none" w:sz="0" w:space="0" w:color="auto"/>
                  </w:divBdr>
                </w:div>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1971813959">
      <w:bodyDiv w:val="1"/>
      <w:marLeft w:val="0"/>
      <w:marRight w:val="0"/>
      <w:marTop w:val="0"/>
      <w:marBottom w:val="0"/>
      <w:divBdr>
        <w:top w:val="none" w:sz="0" w:space="0" w:color="auto"/>
        <w:left w:val="none" w:sz="0" w:space="0" w:color="auto"/>
        <w:bottom w:val="none" w:sz="0" w:space="0" w:color="auto"/>
        <w:right w:val="none" w:sz="0" w:space="0" w:color="auto"/>
      </w:divBdr>
    </w:div>
    <w:div w:id="1987851285">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05552135">
      <w:bodyDiv w:val="1"/>
      <w:marLeft w:val="0"/>
      <w:marRight w:val="0"/>
      <w:marTop w:val="0"/>
      <w:marBottom w:val="0"/>
      <w:divBdr>
        <w:top w:val="none" w:sz="0" w:space="0" w:color="auto"/>
        <w:left w:val="none" w:sz="0" w:space="0" w:color="auto"/>
        <w:bottom w:val="none" w:sz="0" w:space="0" w:color="auto"/>
        <w:right w:val="none" w:sz="0" w:space="0" w:color="auto"/>
      </w:divBdr>
    </w:div>
    <w:div w:id="2033677273">
      <w:bodyDiv w:val="1"/>
      <w:marLeft w:val="0"/>
      <w:marRight w:val="0"/>
      <w:marTop w:val="0"/>
      <w:marBottom w:val="0"/>
      <w:divBdr>
        <w:top w:val="none" w:sz="0" w:space="0" w:color="auto"/>
        <w:left w:val="none" w:sz="0" w:space="0" w:color="auto"/>
        <w:bottom w:val="none" w:sz="0" w:space="0" w:color="auto"/>
        <w:right w:val="none" w:sz="0" w:space="0" w:color="auto"/>
      </w:divBdr>
      <w:divsChild>
        <w:div w:id="128715925">
          <w:marLeft w:val="0"/>
          <w:marRight w:val="0"/>
          <w:marTop w:val="0"/>
          <w:marBottom w:val="250"/>
          <w:divBdr>
            <w:top w:val="none" w:sz="0" w:space="0" w:color="auto"/>
            <w:left w:val="none" w:sz="0" w:space="0" w:color="auto"/>
            <w:bottom w:val="none" w:sz="0" w:space="0" w:color="auto"/>
            <w:right w:val="none" w:sz="0" w:space="0" w:color="auto"/>
          </w:divBdr>
          <w:divsChild>
            <w:div w:id="685210536">
              <w:marLeft w:val="0"/>
              <w:marRight w:val="0"/>
              <w:marTop w:val="0"/>
              <w:marBottom w:val="0"/>
              <w:divBdr>
                <w:top w:val="single" w:sz="4" w:space="9" w:color="E2E2E2"/>
                <w:left w:val="none" w:sz="0" w:space="0" w:color="auto"/>
                <w:bottom w:val="single" w:sz="4" w:space="10" w:color="E2E2E2"/>
                <w:right w:val="none" w:sz="0" w:space="0" w:color="auto"/>
              </w:divBdr>
              <w:divsChild>
                <w:div w:id="654065476">
                  <w:marLeft w:val="0"/>
                  <w:marRight w:val="0"/>
                  <w:marTop w:val="0"/>
                  <w:marBottom w:val="0"/>
                  <w:divBdr>
                    <w:top w:val="none" w:sz="0" w:space="0" w:color="auto"/>
                    <w:left w:val="none" w:sz="0" w:space="0" w:color="auto"/>
                    <w:bottom w:val="none" w:sz="0" w:space="0" w:color="auto"/>
                    <w:right w:val="none" w:sz="0" w:space="0" w:color="auto"/>
                  </w:divBdr>
                  <w:divsChild>
                    <w:div w:id="5867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0253">
          <w:marLeft w:val="0"/>
          <w:marRight w:val="0"/>
          <w:marTop w:val="0"/>
          <w:marBottom w:val="0"/>
          <w:divBdr>
            <w:top w:val="none" w:sz="0" w:space="0" w:color="auto"/>
            <w:left w:val="none" w:sz="0" w:space="0" w:color="auto"/>
            <w:bottom w:val="none" w:sz="0" w:space="0" w:color="auto"/>
            <w:right w:val="none" w:sz="0" w:space="0" w:color="auto"/>
          </w:divBdr>
          <w:divsChild>
            <w:div w:id="1748114685">
              <w:marLeft w:val="0"/>
              <w:marRight w:val="0"/>
              <w:marTop w:val="250"/>
              <w:marBottom w:val="463"/>
              <w:divBdr>
                <w:top w:val="single" w:sz="4" w:space="8" w:color="EBEBEB"/>
                <w:left w:val="none" w:sz="0" w:space="0" w:color="auto"/>
                <w:bottom w:val="single" w:sz="4" w:space="16" w:color="EBEBEB"/>
                <w:right w:val="none" w:sz="0" w:space="0" w:color="auto"/>
              </w:divBdr>
            </w:div>
          </w:divsChild>
        </w:div>
        <w:div w:id="1644240588">
          <w:marLeft w:val="0"/>
          <w:marRight w:val="0"/>
          <w:marTop w:val="0"/>
          <w:marBottom w:val="0"/>
          <w:divBdr>
            <w:top w:val="none" w:sz="0" w:space="0" w:color="auto"/>
            <w:left w:val="none" w:sz="0" w:space="0" w:color="auto"/>
            <w:bottom w:val="none" w:sz="0" w:space="0" w:color="auto"/>
            <w:right w:val="none" w:sz="0" w:space="0" w:color="auto"/>
          </w:divBdr>
          <w:divsChild>
            <w:div w:id="1048646933">
              <w:marLeft w:val="0"/>
              <w:marRight w:val="0"/>
              <w:marTop w:val="0"/>
              <w:marBottom w:val="0"/>
              <w:divBdr>
                <w:top w:val="none" w:sz="0" w:space="0" w:color="auto"/>
                <w:left w:val="none" w:sz="0" w:space="0" w:color="auto"/>
                <w:bottom w:val="none" w:sz="0" w:space="0" w:color="auto"/>
                <w:right w:val="none" w:sz="0" w:space="0" w:color="auto"/>
              </w:divBdr>
              <w:divsChild>
                <w:div w:id="1098915801">
                  <w:marLeft w:val="0"/>
                  <w:marRight w:val="0"/>
                  <w:marTop w:val="0"/>
                  <w:marBottom w:val="88"/>
                  <w:divBdr>
                    <w:top w:val="none" w:sz="0" w:space="0" w:color="auto"/>
                    <w:left w:val="none" w:sz="0" w:space="0" w:color="auto"/>
                    <w:bottom w:val="none" w:sz="0" w:space="0" w:color="auto"/>
                    <w:right w:val="none" w:sz="0" w:space="0" w:color="auto"/>
                  </w:divBdr>
                </w:div>
                <w:div w:id="1736052161">
                  <w:marLeft w:val="0"/>
                  <w:marRight w:val="0"/>
                  <w:marTop w:val="0"/>
                  <w:marBottom w:val="88"/>
                  <w:divBdr>
                    <w:top w:val="none" w:sz="0" w:space="0" w:color="auto"/>
                    <w:left w:val="none" w:sz="0" w:space="0" w:color="auto"/>
                    <w:bottom w:val="none" w:sz="0" w:space="0" w:color="auto"/>
                    <w:right w:val="none" w:sz="0" w:space="0" w:color="auto"/>
                  </w:divBdr>
                </w:div>
                <w:div w:id="1976716459">
                  <w:marLeft w:val="0"/>
                  <w:marRight w:val="376"/>
                  <w:marTop w:val="88"/>
                  <w:marBottom w:val="188"/>
                  <w:divBdr>
                    <w:top w:val="single" w:sz="4" w:space="19" w:color="E2E2E2"/>
                    <w:left w:val="none" w:sz="0" w:space="0" w:color="auto"/>
                    <w:bottom w:val="single" w:sz="4" w:space="24" w:color="E2E2E2"/>
                    <w:right w:val="none" w:sz="0" w:space="0" w:color="auto"/>
                  </w:divBdr>
                  <w:divsChild>
                    <w:div w:id="1364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1016">
          <w:marLeft w:val="0"/>
          <w:marRight w:val="0"/>
          <w:marTop w:val="0"/>
          <w:marBottom w:val="0"/>
          <w:divBdr>
            <w:top w:val="none" w:sz="0" w:space="0" w:color="auto"/>
            <w:left w:val="none" w:sz="0" w:space="0" w:color="auto"/>
            <w:bottom w:val="none" w:sz="0" w:space="0" w:color="auto"/>
            <w:right w:val="none" w:sz="0" w:space="0" w:color="auto"/>
          </w:divBdr>
          <w:divsChild>
            <w:div w:id="459616943">
              <w:marLeft w:val="0"/>
              <w:marRight w:val="0"/>
              <w:marTop w:val="0"/>
              <w:marBottom w:val="0"/>
              <w:divBdr>
                <w:top w:val="none" w:sz="0" w:space="0" w:color="auto"/>
                <w:left w:val="none" w:sz="0" w:space="0" w:color="auto"/>
                <w:bottom w:val="none" w:sz="0" w:space="0" w:color="auto"/>
                <w:right w:val="none" w:sz="0" w:space="0" w:color="auto"/>
              </w:divBdr>
              <w:divsChild>
                <w:div w:id="1474518583">
                  <w:marLeft w:val="0"/>
                  <w:marRight w:val="0"/>
                  <w:marTop w:val="0"/>
                  <w:marBottom w:val="563"/>
                  <w:divBdr>
                    <w:top w:val="none" w:sz="0" w:space="0" w:color="auto"/>
                    <w:left w:val="none" w:sz="0" w:space="0" w:color="auto"/>
                    <w:bottom w:val="none" w:sz="0" w:space="0" w:color="auto"/>
                    <w:right w:val="none" w:sz="0" w:space="0" w:color="auto"/>
                  </w:divBdr>
                  <w:divsChild>
                    <w:div w:id="2040013161">
                      <w:marLeft w:val="0"/>
                      <w:marRight w:val="0"/>
                      <w:marTop w:val="0"/>
                      <w:marBottom w:val="0"/>
                      <w:divBdr>
                        <w:top w:val="none" w:sz="0" w:space="0" w:color="auto"/>
                        <w:left w:val="none" w:sz="0" w:space="0" w:color="auto"/>
                        <w:bottom w:val="none" w:sz="0" w:space="0" w:color="auto"/>
                        <w:right w:val="none" w:sz="0" w:space="0" w:color="auto"/>
                      </w:divBdr>
                      <w:divsChild>
                        <w:div w:id="152527889">
                          <w:marLeft w:val="0"/>
                          <w:marRight w:val="125"/>
                          <w:marTop w:val="0"/>
                          <w:marBottom w:val="0"/>
                          <w:divBdr>
                            <w:top w:val="none" w:sz="0" w:space="0" w:color="auto"/>
                            <w:left w:val="none" w:sz="0" w:space="0" w:color="auto"/>
                            <w:bottom w:val="none" w:sz="0" w:space="0" w:color="auto"/>
                            <w:right w:val="none" w:sz="0" w:space="0" w:color="auto"/>
                          </w:divBdr>
                        </w:div>
                        <w:div w:id="206189522">
                          <w:marLeft w:val="0"/>
                          <w:marRight w:val="0"/>
                          <w:marTop w:val="0"/>
                          <w:marBottom w:val="0"/>
                          <w:divBdr>
                            <w:top w:val="none" w:sz="0" w:space="0" w:color="auto"/>
                            <w:left w:val="none" w:sz="0" w:space="0" w:color="auto"/>
                            <w:bottom w:val="none" w:sz="0" w:space="0" w:color="auto"/>
                            <w:right w:val="none" w:sz="0" w:space="0" w:color="auto"/>
                          </w:divBdr>
                        </w:div>
                        <w:div w:id="934703412">
                          <w:marLeft w:val="0"/>
                          <w:marRight w:val="125"/>
                          <w:marTop w:val="0"/>
                          <w:marBottom w:val="0"/>
                          <w:divBdr>
                            <w:top w:val="none" w:sz="0" w:space="0" w:color="auto"/>
                            <w:left w:val="none" w:sz="0" w:space="0" w:color="auto"/>
                            <w:bottom w:val="none" w:sz="0" w:space="0" w:color="auto"/>
                            <w:right w:val="none" w:sz="0" w:space="0" w:color="auto"/>
                          </w:divBdr>
                        </w:div>
                        <w:div w:id="1076971287">
                          <w:marLeft w:val="0"/>
                          <w:marRight w:val="125"/>
                          <w:marTop w:val="0"/>
                          <w:marBottom w:val="0"/>
                          <w:divBdr>
                            <w:top w:val="none" w:sz="0" w:space="0" w:color="auto"/>
                            <w:left w:val="none" w:sz="0" w:space="0" w:color="auto"/>
                            <w:bottom w:val="none" w:sz="0" w:space="0" w:color="auto"/>
                            <w:right w:val="none" w:sz="0" w:space="0" w:color="auto"/>
                          </w:divBdr>
                        </w:div>
                        <w:div w:id="1150294306">
                          <w:marLeft w:val="0"/>
                          <w:marRight w:val="125"/>
                          <w:marTop w:val="0"/>
                          <w:marBottom w:val="0"/>
                          <w:divBdr>
                            <w:top w:val="none" w:sz="0" w:space="0" w:color="auto"/>
                            <w:left w:val="none" w:sz="0" w:space="0" w:color="auto"/>
                            <w:bottom w:val="none" w:sz="0" w:space="0" w:color="auto"/>
                            <w:right w:val="none" w:sz="0" w:space="0" w:color="auto"/>
                          </w:divBdr>
                        </w:div>
                        <w:div w:id="1279096726">
                          <w:marLeft w:val="0"/>
                          <w:marRight w:val="0"/>
                          <w:marTop w:val="0"/>
                          <w:marBottom w:val="0"/>
                          <w:divBdr>
                            <w:top w:val="none" w:sz="0" w:space="0" w:color="auto"/>
                            <w:left w:val="none" w:sz="0" w:space="0" w:color="auto"/>
                            <w:bottom w:val="none" w:sz="0" w:space="0" w:color="auto"/>
                            <w:right w:val="none" w:sz="0" w:space="0" w:color="auto"/>
                          </w:divBdr>
                        </w:div>
                        <w:div w:id="1327049436">
                          <w:marLeft w:val="0"/>
                          <w:marRight w:val="0"/>
                          <w:marTop w:val="0"/>
                          <w:marBottom w:val="0"/>
                          <w:divBdr>
                            <w:top w:val="none" w:sz="0" w:space="0" w:color="auto"/>
                            <w:left w:val="none" w:sz="0" w:space="0" w:color="auto"/>
                            <w:bottom w:val="none" w:sz="0" w:space="0" w:color="auto"/>
                            <w:right w:val="none" w:sz="0" w:space="0" w:color="auto"/>
                          </w:divBdr>
                        </w:div>
                        <w:div w:id="1453476218">
                          <w:marLeft w:val="0"/>
                          <w:marRight w:val="125"/>
                          <w:marTop w:val="0"/>
                          <w:marBottom w:val="0"/>
                          <w:divBdr>
                            <w:top w:val="none" w:sz="0" w:space="0" w:color="auto"/>
                            <w:left w:val="none" w:sz="0" w:space="0" w:color="auto"/>
                            <w:bottom w:val="none" w:sz="0" w:space="0" w:color="auto"/>
                            <w:right w:val="none" w:sz="0" w:space="0" w:color="auto"/>
                          </w:divBdr>
                        </w:div>
                        <w:div w:id="2018725486">
                          <w:marLeft w:val="0"/>
                          <w:marRight w:val="0"/>
                          <w:marTop w:val="0"/>
                          <w:marBottom w:val="0"/>
                          <w:divBdr>
                            <w:top w:val="none" w:sz="0" w:space="0" w:color="auto"/>
                            <w:left w:val="none" w:sz="0" w:space="0" w:color="auto"/>
                            <w:bottom w:val="none" w:sz="0" w:space="0" w:color="auto"/>
                            <w:right w:val="none" w:sz="0" w:space="0" w:color="auto"/>
                          </w:divBdr>
                        </w:div>
                        <w:div w:id="2027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781">
                  <w:marLeft w:val="0"/>
                  <w:marRight w:val="0"/>
                  <w:marTop w:val="0"/>
                  <w:marBottom w:val="563"/>
                  <w:divBdr>
                    <w:top w:val="none" w:sz="0" w:space="0" w:color="auto"/>
                    <w:left w:val="none" w:sz="0" w:space="0" w:color="auto"/>
                    <w:bottom w:val="none" w:sz="0" w:space="0" w:color="auto"/>
                    <w:right w:val="none" w:sz="0" w:space="0" w:color="auto"/>
                  </w:divBdr>
                  <w:divsChild>
                    <w:div w:id="209331121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743913183">
              <w:marLeft w:val="0"/>
              <w:marRight w:val="0"/>
              <w:marTop w:val="0"/>
              <w:marBottom w:val="0"/>
              <w:divBdr>
                <w:top w:val="none" w:sz="0" w:space="0" w:color="auto"/>
                <w:left w:val="none" w:sz="0" w:space="0" w:color="auto"/>
                <w:bottom w:val="none" w:sz="0" w:space="0" w:color="auto"/>
                <w:right w:val="none" w:sz="0" w:space="0" w:color="auto"/>
              </w:divBdr>
              <w:divsChild>
                <w:div w:id="550649942">
                  <w:marLeft w:val="0"/>
                  <w:marRight w:val="0"/>
                  <w:marTop w:val="0"/>
                  <w:marBottom w:val="88"/>
                  <w:divBdr>
                    <w:top w:val="none" w:sz="0" w:space="0" w:color="auto"/>
                    <w:left w:val="none" w:sz="0" w:space="0" w:color="auto"/>
                    <w:bottom w:val="none" w:sz="0" w:space="0" w:color="auto"/>
                    <w:right w:val="none" w:sz="0" w:space="0" w:color="auto"/>
                  </w:divBdr>
                </w:div>
                <w:div w:id="109648308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96588320">
      <w:bodyDiv w:val="1"/>
      <w:marLeft w:val="0"/>
      <w:marRight w:val="0"/>
      <w:marTop w:val="0"/>
      <w:marBottom w:val="0"/>
      <w:divBdr>
        <w:top w:val="none" w:sz="0" w:space="0" w:color="auto"/>
        <w:left w:val="none" w:sz="0" w:space="0" w:color="auto"/>
        <w:bottom w:val="none" w:sz="0" w:space="0" w:color="auto"/>
        <w:right w:val="none" w:sz="0" w:space="0" w:color="auto"/>
      </w:divBdr>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sChild>
        </w:div>
      </w:divsChild>
    </w:div>
    <w:div w:id="212835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enue.pa.gov/GeneralTaxInformation/Tax%20Types%20and%20Information/Pages/Personal%20Income%20Tax/Unreimbursed%20Expenses/Unreimbursed-Expense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venue.pa.gov/GeneralTaxInformation/Tax%20Types%20and%20Information/Pages/Personal%20Income%20Tax/Unreimbursed%20Expenses/Example-Document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venue.pa.gov/FormsandPublications/FormsforIndividuals/Documents/Personal%20Income%20Tax/rev-489.pdf" TargetMode="External"/><Relationship Id="rId5" Type="http://schemas.openxmlformats.org/officeDocument/2006/relationships/footnotes" Target="footnotes.xml"/><Relationship Id="rId10" Type="http://schemas.openxmlformats.org/officeDocument/2006/relationships/hyperlink" Target="http://www.revenue.pa.gov/GeneralTaxInformation/Tax%20Types%20and%20Information/Pages/Personal%20Income%20Tax/Unreimbursed%20Expenses/Tips.aspx" TargetMode="External"/><Relationship Id="rId4" Type="http://schemas.openxmlformats.org/officeDocument/2006/relationships/webSettings" Target="webSettings.xml"/><Relationship Id="rId9" Type="http://schemas.openxmlformats.org/officeDocument/2006/relationships/hyperlink" Target="http://www.revenue.pa.gov/FormsandPublications/FormsforIndividuals/Documents/Personal%20Income%20Tax/rev-63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3</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McCarthy</dc:creator>
  <cp:keywords/>
  <dc:description/>
  <cp:lastModifiedBy>Jenna McCarthy</cp:lastModifiedBy>
  <cp:revision>10</cp:revision>
  <cp:lastPrinted>2016-10-13T16:43:00Z</cp:lastPrinted>
  <dcterms:created xsi:type="dcterms:W3CDTF">2016-12-02T14:29:00Z</dcterms:created>
  <dcterms:modified xsi:type="dcterms:W3CDTF">2016-12-08T20:27:00Z</dcterms:modified>
</cp:coreProperties>
</file>