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17" w:rsidRDefault="008A7231" w:rsidP="00635217">
      <w:pPr>
        <w:spacing w:before="2" w:after="0" w:line="120" w:lineRule="exact"/>
        <w:rPr>
          <w:sz w:val="12"/>
          <w:szCs w:val="12"/>
        </w:rPr>
      </w:pPr>
      <w:r>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3778B7">
        <w:rPr>
          <w:rFonts w:ascii="Verdana" w:eastAsia="Verdana" w:hAnsi="Verdana" w:cs="Verdana"/>
        </w:rPr>
        <w:t xml:space="preserve">January </w:t>
      </w:r>
      <w:r w:rsidR="00450C49">
        <w:rPr>
          <w:rFonts w:ascii="Verdana" w:eastAsia="Verdana" w:hAnsi="Verdana" w:cs="Verdana"/>
        </w:rPr>
        <w:t>15</w:t>
      </w:r>
      <w:r w:rsidR="00665A3B">
        <w:rPr>
          <w:rFonts w:ascii="Verdana" w:eastAsia="Verdana" w:hAnsi="Verdana" w:cs="Verdana"/>
        </w:rPr>
        <w:t>, 201</w:t>
      </w:r>
      <w:r w:rsidR="003778B7">
        <w:rPr>
          <w:rFonts w:ascii="Verdana" w:eastAsia="Verdana" w:hAnsi="Verdana" w:cs="Verdana"/>
        </w:rPr>
        <w:t>8</w:t>
      </w:r>
    </w:p>
    <w:p w:rsidR="00D956BB" w:rsidRDefault="00635217" w:rsidP="003778B7">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823FC5" w:rsidRPr="00B01A42" w:rsidRDefault="00823FC5" w:rsidP="003778B7">
      <w:pPr>
        <w:spacing w:before="21" w:after="0" w:line="240" w:lineRule="auto"/>
        <w:ind w:left="4107" w:right="4107"/>
        <w:jc w:val="center"/>
        <w:rPr>
          <w:rFonts w:ascii="Verdana" w:eastAsia="Verdana" w:hAnsi="Verdana" w:cs="Verdana"/>
          <w:b/>
          <w:bCs/>
          <w:position w:val="-2"/>
          <w:sz w:val="2"/>
          <w:szCs w:val="24"/>
          <w:u w:val="thick" w:color="000000"/>
        </w:rPr>
      </w:pPr>
    </w:p>
    <w:p w:rsidR="00823FC5" w:rsidRPr="00823FC5" w:rsidRDefault="00823FC5" w:rsidP="00823FC5">
      <w:pPr>
        <w:pStyle w:val="NoSpacing"/>
        <w:rPr>
          <w:rFonts w:ascii="Verdana" w:hAnsi="Verdana"/>
          <w:b/>
          <w:caps/>
          <w:sz w:val="22"/>
          <w:szCs w:val="20"/>
          <w:u w:val="thick"/>
          <w:bdr w:val="none" w:sz="0" w:space="0" w:color="auto" w:frame="1"/>
        </w:rPr>
      </w:pPr>
      <w:r w:rsidRPr="00823FC5">
        <w:rPr>
          <w:rFonts w:ascii="Verdana" w:hAnsi="Verdana"/>
          <w:b/>
          <w:caps/>
          <w:sz w:val="22"/>
          <w:szCs w:val="20"/>
          <w:u w:val="thick"/>
          <w:bdr w:val="none" w:sz="0" w:space="0" w:color="auto" w:frame="1"/>
        </w:rPr>
        <w:t xml:space="preserve">Governor Wolf to change overtime rules </w:t>
      </w:r>
    </w:p>
    <w:p w:rsidR="00823FC5" w:rsidRDefault="00823FC5" w:rsidP="00823FC5">
      <w:pPr>
        <w:pStyle w:val="NoSpacing"/>
        <w:rPr>
          <w:rFonts w:ascii="Verdana" w:hAnsi="Verdana"/>
          <w:sz w:val="20"/>
          <w:szCs w:val="20"/>
          <w:bdr w:val="none" w:sz="0" w:space="0" w:color="auto" w:frame="1"/>
        </w:rPr>
      </w:pPr>
      <w:r w:rsidRPr="00823FC5">
        <w:rPr>
          <w:rFonts w:ascii="Verdana" w:hAnsi="Verdana"/>
          <w:sz w:val="20"/>
          <w:szCs w:val="20"/>
          <w:bdr w:val="none" w:sz="0" w:space="0" w:color="auto" w:frame="1"/>
        </w:rPr>
        <w:t>At an event in Philadelphia Wednesday, Gov. Tom Wolf announced he is having his Department of Labor and Industry change regulations relative to overtime work to modernize a system that he called “outdated”.</w:t>
      </w:r>
      <w:r>
        <w:rPr>
          <w:rFonts w:ascii="Verdana" w:hAnsi="Verdana"/>
          <w:color w:val="333333"/>
          <w:sz w:val="20"/>
          <w:szCs w:val="20"/>
        </w:rPr>
        <w:t xml:space="preserve"> </w:t>
      </w:r>
      <w:r w:rsidRPr="00823FC5">
        <w:rPr>
          <w:rFonts w:ascii="Verdana" w:hAnsi="Verdana"/>
          <w:sz w:val="20"/>
          <w:szCs w:val="20"/>
          <w:bdr w:val="none" w:sz="0" w:space="0" w:color="auto" w:frame="1"/>
        </w:rPr>
        <w:t>According to the Wolf administration, the current overtime rules have not been updated since the 1970s.</w:t>
      </w:r>
      <w:r>
        <w:rPr>
          <w:rFonts w:ascii="Verdana" w:hAnsi="Verdana"/>
          <w:color w:val="333333"/>
          <w:sz w:val="20"/>
          <w:szCs w:val="20"/>
        </w:rPr>
        <w:t xml:space="preserve"> </w:t>
      </w:r>
      <w:r w:rsidRPr="00823FC5">
        <w:rPr>
          <w:rFonts w:ascii="Verdana" w:hAnsi="Verdana"/>
          <w:sz w:val="20"/>
          <w:szCs w:val="20"/>
          <w:bdr w:val="none" w:sz="0" w:space="0" w:color="auto" w:frame="1"/>
        </w:rPr>
        <w:t>The changes sought by the governor would increase the salary thresholds over a four-year period—and then every three years after that—by which workers are exempted from overtime requirements that guarantee overtime pay workers making less than the threshold amount.</w:t>
      </w:r>
      <w:r>
        <w:rPr>
          <w:rFonts w:ascii="Verdana" w:hAnsi="Verdana"/>
          <w:color w:val="333333"/>
          <w:sz w:val="20"/>
          <w:szCs w:val="20"/>
        </w:rPr>
        <w:t xml:space="preserve"> </w:t>
      </w:r>
      <w:r w:rsidRPr="00823FC5">
        <w:rPr>
          <w:rFonts w:ascii="Verdana" w:hAnsi="Verdana"/>
          <w:sz w:val="20"/>
          <w:szCs w:val="20"/>
          <w:bdr w:val="none" w:sz="0" w:space="0" w:color="auto" w:frame="1"/>
        </w:rPr>
        <w:t>The current threshold amount of $24,000 has not been updated since 1977. According to the plan outlined by the governor, the new regulations—expected to undergo the regulatory review process this March—would increase the threshold amount by which workers would be exempt from overtime requirements over a four-year period ending in 2022.</w:t>
      </w:r>
      <w:r>
        <w:rPr>
          <w:rFonts w:ascii="Verdana" w:hAnsi="Verdana"/>
          <w:color w:val="333333"/>
          <w:sz w:val="20"/>
          <w:szCs w:val="20"/>
        </w:rPr>
        <w:t xml:space="preserve"> </w:t>
      </w:r>
      <w:r w:rsidRPr="00823FC5">
        <w:rPr>
          <w:rFonts w:ascii="Verdana" w:hAnsi="Verdana"/>
          <w:sz w:val="20"/>
          <w:szCs w:val="20"/>
          <w:bdr w:val="none" w:sz="0" w:space="0" w:color="auto" w:frame="1"/>
        </w:rPr>
        <w:t>The first step will raise the salary level to determine overtime eligibility for most workers from the federal minimum of $455 per week, $23,660 annually, to $610 per week, $31,720 annually, on January 1, 2020. The threshold will increase to $39,832 on January 1, 2021, followed by $47,892 in 2022, extending overtime eligibility to 370,000 workers and up to 460,000 in four years.</w:t>
      </w:r>
      <w:r>
        <w:rPr>
          <w:rFonts w:ascii="Verdana" w:hAnsi="Verdana"/>
          <w:color w:val="333333"/>
          <w:sz w:val="20"/>
          <w:szCs w:val="20"/>
        </w:rPr>
        <w:t xml:space="preserve"> </w:t>
      </w:r>
      <w:r w:rsidRPr="00823FC5">
        <w:rPr>
          <w:rFonts w:ascii="Verdana" w:hAnsi="Verdana"/>
          <w:sz w:val="20"/>
          <w:szCs w:val="20"/>
          <w:bdr w:val="none" w:sz="0" w:space="0" w:color="auto" w:frame="1"/>
        </w:rPr>
        <w:t>Starting in 2022, the salary threshold will update automatically every three years. The administration also hopes to clarify duties relative to executive, administrative, and professional employees to make it easier to determine whether an employee is subject to overtime regulations.</w:t>
      </w:r>
    </w:p>
    <w:p w:rsidR="00442F6E" w:rsidRPr="002F63D0" w:rsidRDefault="00B34D40" w:rsidP="00823FC5">
      <w:pPr>
        <w:pStyle w:val="NoSpacing"/>
        <w:rPr>
          <w:rFonts w:ascii="Verdana" w:hAnsi="Verdana"/>
          <w:b/>
          <w:caps/>
          <w:sz w:val="22"/>
          <w:szCs w:val="20"/>
          <w:u w:val="thick"/>
        </w:rPr>
      </w:pPr>
      <w:r w:rsidRPr="002F63D0">
        <w:rPr>
          <w:rFonts w:ascii="Verdana" w:hAnsi="Verdana"/>
          <w:b/>
          <w:caps/>
          <w:sz w:val="22"/>
          <w:szCs w:val="20"/>
          <w:u w:val="thick"/>
        </w:rPr>
        <w:t>House Appropriations Subcommittee Hearing on PA Tax Structure</w:t>
      </w:r>
    </w:p>
    <w:p w:rsidR="00B34D40" w:rsidRPr="00716139" w:rsidRDefault="00B34D40" w:rsidP="00716139">
      <w:pPr>
        <w:pStyle w:val="NoSpacing"/>
        <w:rPr>
          <w:rFonts w:ascii="Verdana" w:hAnsi="Verdana"/>
          <w:sz w:val="20"/>
        </w:rPr>
      </w:pPr>
      <w:r w:rsidRPr="00716139">
        <w:rPr>
          <w:rFonts w:ascii="Verdana" w:hAnsi="Verdana"/>
          <w:sz w:val="20"/>
        </w:rPr>
        <w:t xml:space="preserve">Thursday morning, the House Appropriations Subcommittee on Fiscal Policy held a public hearing on Pennsylvania tax structure and fiscal policy. The testifiers included Jared Walczak of the Tax Foundation, Robert Strauss of Carnegie Mellon University and Pavel Yakovlev of Duquesne University. A summary of the hearing can be found </w:t>
      </w:r>
      <w:hyperlink r:id="rId9" w:history="1">
        <w:r w:rsidRPr="00716139">
          <w:rPr>
            <w:rStyle w:val="Hyperlink"/>
            <w:rFonts w:ascii="Verdana" w:hAnsi="Verdana"/>
            <w:sz w:val="20"/>
            <w:u w:val="none"/>
          </w:rPr>
          <w:t>HERE</w:t>
        </w:r>
        <w:r w:rsidRPr="00716139">
          <w:rPr>
            <w:rStyle w:val="Hyperlink"/>
            <w:rFonts w:ascii="Verdana" w:hAnsi="Verdana"/>
            <w:color w:val="auto"/>
            <w:sz w:val="20"/>
            <w:u w:val="none"/>
          </w:rPr>
          <w:t>.</w:t>
        </w:r>
      </w:hyperlink>
      <w:r w:rsidRPr="00716139">
        <w:rPr>
          <w:rFonts w:ascii="Verdana" w:hAnsi="Verdana"/>
          <w:sz w:val="20"/>
        </w:rPr>
        <w:t xml:space="preserve"> </w:t>
      </w:r>
    </w:p>
    <w:p w:rsidR="00B01A42" w:rsidRPr="00B01A42" w:rsidRDefault="00B01A42" w:rsidP="00B01A42">
      <w:pPr>
        <w:pStyle w:val="NoSpacing"/>
        <w:rPr>
          <w:rFonts w:ascii="Verdana" w:hAnsi="Verdana"/>
          <w:b/>
          <w:caps/>
          <w:sz w:val="22"/>
          <w:szCs w:val="27"/>
          <w:u w:val="thick"/>
        </w:rPr>
      </w:pPr>
      <w:r w:rsidRPr="00B01A42">
        <w:rPr>
          <w:rFonts w:ascii="Verdana" w:hAnsi="Verdana"/>
          <w:b/>
          <w:caps/>
          <w:sz w:val="22"/>
          <w:u w:val="thick"/>
        </w:rPr>
        <w:t>Sen. Rafferty, Sen. Scavello: Veterans Organizations Now Exempt from Realty Transfer Tax</w:t>
      </w:r>
    </w:p>
    <w:p w:rsidR="00716139" w:rsidRDefault="00B01A42" w:rsidP="001E5DCB">
      <w:pPr>
        <w:pStyle w:val="NoSpacing"/>
        <w:rPr>
          <w:rFonts w:ascii="Verdana" w:hAnsi="Verdana"/>
          <w:sz w:val="20"/>
        </w:rPr>
      </w:pPr>
      <w:r w:rsidRPr="00B01A42">
        <w:rPr>
          <w:rFonts w:ascii="Verdana" w:hAnsi="Verdana"/>
          <w:sz w:val="20"/>
        </w:rPr>
        <w:t>Nationally recognized veterans organizations are now exempt from the Realty Transfer Tax, under a provision sponsored by Sen. John Rafferty (R-44) and Sen. Mario Scavello (R-40).</w:t>
      </w:r>
      <w:r w:rsidRPr="00B01A42">
        <w:rPr>
          <w:rFonts w:ascii="Verdana" w:hAnsi="Verdana"/>
          <w:sz w:val="22"/>
          <w:szCs w:val="27"/>
        </w:rPr>
        <w:t xml:space="preserve"> </w:t>
      </w:r>
      <w:r w:rsidRPr="00B01A42">
        <w:rPr>
          <w:rFonts w:ascii="Verdana" w:hAnsi="Verdana"/>
          <w:sz w:val="20"/>
        </w:rPr>
        <w:t>Prior to the change, veterans organizations wishing to transfer property from the local home association to the post were not excluded from the 2 percent realty transfer tax despite their tax-exempt status. The Realty Transfer Tax exemption was introduced by Senator Rafferty and Senator Scavello as Senate Bill 430, which was amended into Act 43 of 2017, the Tax Code bill.</w:t>
      </w:r>
    </w:p>
    <w:p w:rsidR="008A7231" w:rsidRPr="00B012BC" w:rsidRDefault="008A7231" w:rsidP="008A7231">
      <w:pPr>
        <w:pStyle w:val="NoSpacing"/>
        <w:rPr>
          <w:rFonts w:ascii="Verdana" w:hAnsi="Verdana"/>
          <w:b/>
          <w:caps/>
          <w:sz w:val="22"/>
          <w:u w:val="thick"/>
        </w:rPr>
      </w:pPr>
      <w:r w:rsidRPr="00B012BC">
        <w:rPr>
          <w:rFonts w:ascii="Verdana" w:hAnsi="Verdana"/>
          <w:b/>
          <w:caps/>
          <w:sz w:val="22"/>
          <w:u w:val="thick"/>
        </w:rPr>
        <w:t>Elimination of the Inheritance Tax Co-Sponsor memo</w:t>
      </w:r>
    </w:p>
    <w:p w:rsidR="008A7231" w:rsidRDefault="008A7231" w:rsidP="001E5DCB">
      <w:pPr>
        <w:pStyle w:val="NoSpacing"/>
        <w:rPr>
          <w:rFonts w:ascii="Verdana" w:hAnsi="Verdana" w:cs="Arial"/>
          <w:sz w:val="20"/>
          <w:szCs w:val="20"/>
          <w:shd w:val="clear" w:color="auto" w:fill="FFFFFF"/>
        </w:rPr>
      </w:pPr>
      <w:r w:rsidRPr="00B012BC">
        <w:rPr>
          <w:rFonts w:ascii="Verdana" w:hAnsi="Verdana"/>
          <w:sz w:val="20"/>
        </w:rPr>
        <w:t>Rep. Greg Rothman circulated co-sponsorship memorandum for legislation that would eliminate the Pennsylvania Inheritance Tax by removing Article XXI from the Tax Reform Code.</w:t>
      </w:r>
      <w:r w:rsidRPr="00B012BC">
        <w:rPr>
          <w:rFonts w:ascii="Verdana" w:hAnsi="Verdana" w:cs="Arial"/>
          <w:sz w:val="20"/>
          <w:szCs w:val="20"/>
          <w:shd w:val="clear" w:color="auto" w:fill="FFFFFF"/>
        </w:rPr>
        <w:t xml:space="preserve"> Presently, the Pennsylvania inheritance tax is imposed as a percentage of the value of a decedent’s estate transferred to beneficiaries by will, heirs by intestacy and transferees by operation of law. The tax rate depends on the relationship of the heir to the decedent and ranges from 0% to 15%. Pennsylvania has no general exclusion amount. Therefore, the first dollar of the taxable estate (gross estate less allowable deductions) is subject to tax. The Federal inheritance/estate tax is applied to the transfer of property to an heir after the passing away of the original owner. Federal tax is calculated based on the fair market value of the property transferred to the beneficiary of the estate. However, unlike Pennsylvania, the federal estate tax has a general exclusion amount. </w:t>
      </w:r>
      <w:r>
        <w:rPr>
          <w:rFonts w:ascii="Verdana" w:hAnsi="Verdana" w:cs="Arial"/>
          <w:sz w:val="20"/>
          <w:szCs w:val="20"/>
          <w:shd w:val="clear" w:color="auto" w:fill="FFFFFF"/>
        </w:rPr>
        <w:t xml:space="preserve">According to the co-sponsor memo, Rep. Rothman would like to eliminate the inheritance tax to prevent double taxation on families. </w:t>
      </w:r>
    </w:p>
    <w:p w:rsidR="001E5DCB" w:rsidRPr="008A7231" w:rsidRDefault="001E5DCB" w:rsidP="001E5DCB">
      <w:pPr>
        <w:pStyle w:val="NoSpacing"/>
        <w:rPr>
          <w:rFonts w:ascii="Verdana" w:hAnsi="Verdana" w:cs="Arial"/>
          <w:sz w:val="20"/>
          <w:szCs w:val="20"/>
          <w:shd w:val="clear" w:color="auto" w:fill="FFFFFF"/>
        </w:rPr>
      </w:pPr>
      <w:bookmarkStart w:id="3" w:name="_GoBack"/>
      <w:bookmarkEnd w:id="3"/>
      <w:r w:rsidRPr="001E5DCB">
        <w:rPr>
          <w:rFonts w:ascii="Verdana" w:hAnsi="Verdana"/>
          <w:b/>
          <w:caps/>
          <w:sz w:val="22"/>
          <w:u w:val="thick"/>
        </w:rPr>
        <w:lastRenderedPageBreak/>
        <w:t>Corr and Quigley Highlight Benefits of State Education Tax Credit Programs for Local Students, Businesses and Schools</w:t>
      </w:r>
    </w:p>
    <w:p w:rsidR="001E5DCB" w:rsidRPr="001E5DCB" w:rsidRDefault="001E5DCB" w:rsidP="001E5DCB">
      <w:pPr>
        <w:pStyle w:val="NoSpacing"/>
        <w:rPr>
          <w:rFonts w:ascii="Verdana" w:hAnsi="Verdana"/>
          <w:sz w:val="20"/>
        </w:rPr>
      </w:pPr>
      <w:r w:rsidRPr="001E5DCB">
        <w:rPr>
          <w:rFonts w:ascii="Verdana" w:hAnsi="Verdana"/>
          <w:sz w:val="20"/>
        </w:rPr>
        <w:t>State Rep. Michael Corr (R-Montgomery) and state Rep. Tom Quigley (R-Montgomery) visited Pope John Paul II High School in Royersford, where they and Pennsylvania House Speaker Mike Turzai (R-Allegheny) highlighted the benefits enjoyed by students, parents, local businesses and schools that have used two popular education tax credit programs</w:t>
      </w:r>
      <w:r>
        <w:rPr>
          <w:rFonts w:ascii="Verdana" w:hAnsi="Verdana"/>
          <w:sz w:val="20"/>
        </w:rPr>
        <w:t xml:space="preserve">, </w:t>
      </w:r>
      <w:r w:rsidRPr="001E5DCB">
        <w:rPr>
          <w:rFonts w:ascii="Verdana" w:hAnsi="Verdana"/>
          <w:sz w:val="20"/>
        </w:rPr>
        <w:t xml:space="preserve">the Educational Improvement Tax Credit (EITC) program and the Opportunity Scholarship Tax Credit (OSTC) program. The EITC program provides businesses with tax credits in exchange for voluntary contributions to organizations that fund various education opportunities in both public and private schools. The OSTC program provides businesses with tax credits in exchange for their contributions to organizations that provide scholarships to students who live within the attendance boundary of a low-achieving public school. </w:t>
      </w:r>
      <w:r>
        <w:rPr>
          <w:rFonts w:ascii="Verdana" w:hAnsi="Verdana"/>
          <w:sz w:val="20"/>
        </w:rPr>
        <w:t xml:space="preserve"> </w:t>
      </w:r>
      <w:r w:rsidRPr="001E5DCB">
        <w:rPr>
          <w:rFonts w:ascii="Verdana" w:hAnsi="Verdana"/>
          <w:sz w:val="20"/>
        </w:rPr>
        <w:t>The state House in March approved legislation – </w:t>
      </w:r>
      <w:hyperlink r:id="rId10" w:tgtFrame="_blank" w:history="1">
        <w:r w:rsidRPr="001E5DCB">
          <w:rPr>
            <w:rFonts w:ascii="Verdana" w:hAnsi="Verdana"/>
            <w:color w:val="0000FF"/>
            <w:sz w:val="20"/>
            <w:u w:val="single"/>
          </w:rPr>
          <w:t>House Bill 250</w:t>
        </w:r>
      </w:hyperlink>
      <w:r w:rsidRPr="001E5DCB">
        <w:rPr>
          <w:rFonts w:ascii="Verdana" w:hAnsi="Verdana"/>
          <w:sz w:val="20"/>
        </w:rPr>
        <w:t> – introduced by Turzai that would increase the amount of combined credits available through the EITC and OSTC programs to $250 million. Under Turzai’s bill, $175 million in tax credits would be available through the EITC program and $75 million would be available through the OSTC program. The bill was referred to and remains in the Senate Education Committee awaiting consideration. </w:t>
      </w:r>
    </w:p>
    <w:p w:rsidR="000C24D9" w:rsidRPr="000C24D9" w:rsidRDefault="000C24D9" w:rsidP="000C24D9">
      <w:pPr>
        <w:pStyle w:val="NoSpacing"/>
        <w:rPr>
          <w:rFonts w:ascii="Verdana" w:hAnsi="Verdana"/>
          <w:b/>
          <w:sz w:val="22"/>
          <w:szCs w:val="20"/>
          <w:u w:val="thick"/>
        </w:rPr>
      </w:pPr>
      <w:r w:rsidRPr="000C24D9">
        <w:rPr>
          <w:rFonts w:ascii="Verdana" w:hAnsi="Verdana"/>
          <w:b/>
          <w:sz w:val="22"/>
          <w:szCs w:val="20"/>
          <w:u w:val="thick"/>
        </w:rPr>
        <w:t>PA ABLE PROGRAM UPDATE</w:t>
      </w:r>
    </w:p>
    <w:p w:rsidR="002B018E" w:rsidRPr="000C24D9" w:rsidRDefault="002B018E" w:rsidP="000C24D9">
      <w:pPr>
        <w:pStyle w:val="NoSpacing"/>
        <w:rPr>
          <w:rStyle w:val="NoSpacingChar"/>
          <w:rFonts w:ascii="Verdana" w:hAnsi="Verdana"/>
          <w:sz w:val="20"/>
          <w:szCs w:val="20"/>
        </w:rPr>
      </w:pPr>
      <w:r w:rsidRPr="000C24D9">
        <w:rPr>
          <w:rStyle w:val="NoSpacingChar"/>
          <w:rFonts w:ascii="Verdana" w:hAnsi="Verdana"/>
          <w:sz w:val="20"/>
          <w:szCs w:val="20"/>
        </w:rPr>
        <w:t>Pennsylvania Treasurer Joe </w:t>
      </w:r>
      <w:r w:rsidR="00442F6E" w:rsidRPr="000C24D9">
        <w:rPr>
          <w:rStyle w:val="NoSpacingChar"/>
          <w:rFonts w:ascii="Verdana" w:hAnsi="Verdana"/>
          <w:sz w:val="20"/>
          <w:szCs w:val="20"/>
        </w:rPr>
        <w:t>Torsella announced</w:t>
      </w:r>
      <w:r w:rsidRPr="000C24D9">
        <w:rPr>
          <w:rStyle w:val="NoSpacingChar"/>
          <w:rFonts w:ascii="Verdana" w:hAnsi="Verdana"/>
          <w:sz w:val="20"/>
          <w:szCs w:val="20"/>
        </w:rPr>
        <w:t xml:space="preserve"> that the Pennsylvania ABLE Savings Program (PA ABLE) finished 2017 by exceeding more than $4 million in assets, and almost 1,000 individual accounts opened. This represents the fastest growth for an ABLE program of any state in the National ABLE Alliance. The PA ABLE Savings Program provides tax-advantaged savings accounts for individuals with qualified disabilities and their families. ABLE saving accounts are excluded from eligibility determinations for Supplemental Security Income (SSI) benefits (savings up to $100,000), Medical Assistance, and other federal and state means-tested disability and health benefits programs on which individuals with disabilities must often depend. Under the PA ABLE Savings program: eligible individuals can save up to $15,000 each year; accounts grow tax-free; accounts can be used to pay for a wide range of disability-related expenses; contributions can be deducted on Pennsylvania incomes taxes (limitations apply); and accounts are exempt from Pennsylvania inheritance tax.</w:t>
      </w:r>
    </w:p>
    <w:p w:rsidR="00D46A8F" w:rsidRPr="000C24D9" w:rsidRDefault="002B018E" w:rsidP="00D46A8F">
      <w:pPr>
        <w:pStyle w:val="NoSpacing"/>
        <w:rPr>
          <w:rFonts w:ascii="Verdana" w:hAnsi="Verdana"/>
          <w:sz w:val="20"/>
          <w:szCs w:val="20"/>
        </w:rPr>
      </w:pPr>
      <w:r w:rsidRPr="000C24D9">
        <w:rPr>
          <w:rFonts w:ascii="Verdana" w:hAnsi="Verdana"/>
          <w:b/>
          <w:bCs/>
          <w:sz w:val="20"/>
          <w:szCs w:val="20"/>
        </w:rPr>
        <w:t> </w:t>
      </w:r>
      <w:r w:rsidR="00D46A8F" w:rsidRPr="00B01A42">
        <w:rPr>
          <w:rFonts w:ascii="Verdana" w:hAnsi="Verdana"/>
          <w:b/>
          <w:caps/>
          <w:sz w:val="22"/>
          <w:szCs w:val="20"/>
          <w:u w:val="thick"/>
        </w:rPr>
        <w:t>Republican lawmakers introduce regulatory reform report, bill package</w:t>
      </w:r>
    </w:p>
    <w:p w:rsidR="00D46A8F" w:rsidRPr="00B01A42" w:rsidRDefault="00D46A8F" w:rsidP="00B01A42">
      <w:pPr>
        <w:pStyle w:val="NoSpacing"/>
        <w:rPr>
          <w:rFonts w:ascii="Verdana" w:hAnsi="Verdana"/>
          <w:sz w:val="20"/>
          <w:szCs w:val="20"/>
        </w:rPr>
      </w:pPr>
      <w:r w:rsidRPr="00D46A8F">
        <w:rPr>
          <w:rFonts w:ascii="Verdana" w:hAnsi="Verdana"/>
          <w:color w:val="000000"/>
          <w:sz w:val="20"/>
          <w:szCs w:val="20"/>
          <w:bdr w:val="none" w:sz="0" w:space="0" w:color="auto" w:frame="1"/>
        </w:rPr>
        <w:t>A group of more than two dozen legislators, business organizations, academics, and advocacy organizations stood together Tuesday in the state Capitol’s Media Center to unveil a report on Pennsylvania’s regulatory reform issues and a package of bills they hope will restructure the state’s regulatory environment</w:t>
      </w:r>
      <w:r w:rsidR="00B01A42">
        <w:rPr>
          <w:rFonts w:ascii="Verdana" w:hAnsi="Verdana"/>
          <w:color w:val="000000"/>
          <w:sz w:val="20"/>
          <w:szCs w:val="20"/>
          <w:bdr w:val="none" w:sz="0" w:space="0" w:color="auto" w:frame="1"/>
        </w:rPr>
        <w:t>.</w:t>
      </w:r>
      <w:r w:rsidRPr="00D46A8F">
        <w:rPr>
          <w:rFonts w:ascii="Verdana" w:hAnsi="Verdana"/>
          <w:color w:val="000000"/>
          <w:sz w:val="20"/>
          <w:szCs w:val="20"/>
          <w:bdr w:val="none" w:sz="0" w:space="0" w:color="auto" w:frame="1"/>
        </w:rPr>
        <w:t xml:space="preserve"> The effort, the group said, is the culmination of work in terms of hearings by the House Republican Policy Committee, the House State Government Committee, and legislation vetted by the newly-formed House Common Sense Caucus to look at ways in which the state may be inhibiting business growth through onerous and duplicative regulations.</w:t>
      </w:r>
      <w:r w:rsidR="00B01A42">
        <w:rPr>
          <w:rFonts w:ascii="Verdana" w:hAnsi="Verdana"/>
          <w:sz w:val="20"/>
          <w:szCs w:val="20"/>
        </w:rPr>
        <w:t xml:space="preserve"> </w:t>
      </w:r>
      <w:r w:rsidRPr="00D46A8F">
        <w:rPr>
          <w:rFonts w:ascii="Verdana" w:hAnsi="Verdana"/>
          <w:color w:val="000000"/>
          <w:sz w:val="20"/>
          <w:szCs w:val="20"/>
          <w:bdr w:val="none" w:sz="0" w:space="0" w:color="auto" w:frame="1"/>
        </w:rPr>
        <w:t>It was that five-bill package, some of which have been introduced earlier this session with others having a more recent unveiling</w:t>
      </w:r>
      <w:r w:rsidR="00B01A42">
        <w:rPr>
          <w:rFonts w:ascii="Verdana" w:hAnsi="Verdana"/>
          <w:color w:val="000000"/>
          <w:sz w:val="20"/>
          <w:szCs w:val="20"/>
          <w:bdr w:val="none" w:sz="0" w:space="0" w:color="auto" w:frame="1"/>
        </w:rPr>
        <w:t>.</w:t>
      </w:r>
      <w:r w:rsidRPr="00D46A8F">
        <w:rPr>
          <w:rFonts w:ascii="Verdana" w:hAnsi="Verdana"/>
          <w:color w:val="000000"/>
          <w:sz w:val="20"/>
          <w:szCs w:val="20"/>
          <w:bdr w:val="none" w:sz="0" w:space="0" w:color="auto" w:frame="1"/>
        </w:rPr>
        <w:t xml:space="preserve"> Staring with House Bill 209, legislation sponsored by Rep. Kristin Phillips-Hill (R-York), the bill would establish the Independent Office of the Repealer, who will undertake an ongoing review of existing regulations and be the repository for regulatory recommendations related to repealing existing regulation.</w:t>
      </w:r>
      <w:r w:rsidR="00B01A42">
        <w:rPr>
          <w:rFonts w:ascii="Verdana" w:hAnsi="Verdana"/>
          <w:sz w:val="20"/>
          <w:szCs w:val="20"/>
        </w:rPr>
        <w:t xml:space="preserve"> </w:t>
      </w:r>
      <w:r w:rsidRPr="00D46A8F">
        <w:rPr>
          <w:rFonts w:ascii="Verdana" w:hAnsi="Verdana"/>
          <w:color w:val="000000"/>
          <w:sz w:val="20"/>
          <w:szCs w:val="20"/>
          <w:bdr w:val="none" w:sz="0" w:space="0" w:color="auto" w:frame="1"/>
        </w:rPr>
        <w:t>Also part of the package is House Bill 1237, legislation introduced last year by Rep. Dawn Keefer (R-York) that would require the General Assembly, through concurrent resolution, to approve regulations that have an annual fiscal impact totaling $1 million or more on the government or private sector.</w:t>
      </w:r>
      <w:r w:rsidR="00B01A42">
        <w:rPr>
          <w:rFonts w:ascii="Verdana" w:hAnsi="Verdana"/>
          <w:sz w:val="20"/>
          <w:szCs w:val="20"/>
        </w:rPr>
        <w:t xml:space="preserve"> </w:t>
      </w:r>
      <w:r w:rsidRPr="00D46A8F">
        <w:rPr>
          <w:rFonts w:ascii="Verdana" w:hAnsi="Verdana"/>
          <w:color w:val="000000"/>
          <w:sz w:val="20"/>
          <w:szCs w:val="20"/>
          <w:bdr w:val="none" w:sz="0" w:space="0" w:color="auto" w:frame="1"/>
        </w:rPr>
        <w:t>Rep. Kerry Benninghoff (R-Centre), who chairs the House Republican Policy Committee, authored House Bill 1792, which would allow the General Assembly to repeal any regulation by concurrent resolution</w:t>
      </w:r>
      <w:r w:rsidR="00B01A42">
        <w:rPr>
          <w:rFonts w:ascii="Verdana" w:hAnsi="Verdana"/>
          <w:color w:val="000000"/>
          <w:sz w:val="20"/>
          <w:szCs w:val="20"/>
          <w:bdr w:val="none" w:sz="0" w:space="0" w:color="auto" w:frame="1"/>
        </w:rPr>
        <w:t>.</w:t>
      </w:r>
      <w:r w:rsidR="00B01A42">
        <w:rPr>
          <w:rFonts w:ascii="Verdana" w:hAnsi="Verdana"/>
          <w:sz w:val="20"/>
          <w:szCs w:val="20"/>
        </w:rPr>
        <w:t xml:space="preserve"> </w:t>
      </w:r>
      <w:r w:rsidRPr="00D46A8F">
        <w:rPr>
          <w:rFonts w:ascii="Verdana" w:hAnsi="Verdana"/>
          <w:color w:val="000000"/>
          <w:sz w:val="20"/>
          <w:szCs w:val="20"/>
          <w:bdr w:val="none" w:sz="0" w:space="0" w:color="auto" w:frame="1"/>
        </w:rPr>
        <w:t>House Bill 1959, sponsored by Rep. Greg Rothman (R-Cumberland), is aimed at bringing transparency to permitting by establishing the Pennsylvania Permit Act that would require agencies to create and develop an online navigable database tracking the permit process and giving a statutorily-defined rationale for when a permit is delayed or denied.</w:t>
      </w:r>
    </w:p>
    <w:p w:rsidR="001E5DCB" w:rsidRDefault="001E5DCB" w:rsidP="000B0F3C">
      <w:pPr>
        <w:pStyle w:val="NoSpacing"/>
        <w:rPr>
          <w:rFonts w:ascii="Verdana" w:eastAsia="Verdana" w:hAnsi="Verdana" w:cs="Verdana"/>
          <w:b/>
          <w:bCs/>
          <w:spacing w:val="1"/>
          <w:position w:val="-1"/>
          <w:sz w:val="22"/>
          <w:u w:val="thick" w:color="000000"/>
        </w:rPr>
      </w:pPr>
    </w:p>
    <w:p w:rsidR="00F46849" w:rsidRDefault="00F46849" w:rsidP="000B0F3C">
      <w:pPr>
        <w:pStyle w:val="NoSpacing"/>
        <w:rPr>
          <w:rFonts w:ascii="Verdana" w:eastAsia="Verdana" w:hAnsi="Verdana" w:cs="Verdana"/>
          <w:b/>
          <w:bCs/>
          <w:spacing w:val="1"/>
          <w:position w:val="-1"/>
          <w:sz w:val="22"/>
          <w:u w:val="thick" w:color="000000"/>
        </w:rPr>
      </w:pPr>
    </w:p>
    <w:p w:rsidR="00CF6C03" w:rsidRPr="009D5841" w:rsidRDefault="00BA01E5" w:rsidP="000B0F3C">
      <w:pPr>
        <w:pStyle w:val="NoSpacing"/>
        <w:rPr>
          <w:rFonts w:ascii="Verdana" w:hAnsi="Verdana"/>
          <w:sz w:val="20"/>
          <w:szCs w:val="20"/>
        </w:rPr>
      </w:pPr>
      <w:r w:rsidRPr="000D15C3">
        <w:rPr>
          <w:rFonts w:ascii="Verdana" w:eastAsia="Verdana" w:hAnsi="Verdana" w:cs="Verdana"/>
          <w:b/>
          <w:bCs/>
          <w:spacing w:val="1"/>
          <w:position w:val="-1"/>
          <w:sz w:val="22"/>
          <w:u w:val="thick" w:color="000000"/>
        </w:rPr>
        <w:lastRenderedPageBreak/>
        <w:t>P</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NN</w:t>
      </w:r>
      <w:r w:rsidRPr="000D15C3">
        <w:rPr>
          <w:rFonts w:ascii="Verdana" w:eastAsia="Verdana" w:hAnsi="Verdana" w:cs="Verdana"/>
          <w:b/>
          <w:bCs/>
          <w:spacing w:val="2"/>
          <w:position w:val="-1"/>
          <w:sz w:val="22"/>
          <w:u w:val="thick" w:color="000000"/>
        </w:rPr>
        <w:t>S</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1"/>
          <w:position w:val="-1"/>
          <w:sz w:val="22"/>
          <w:u w:val="thick" w:color="000000"/>
        </w:rPr>
        <w:t>LV</w:t>
      </w:r>
      <w:r w:rsidRPr="000D15C3">
        <w:rPr>
          <w:rFonts w:ascii="Verdana" w:eastAsia="Verdana" w:hAnsi="Verdana" w:cs="Verdana"/>
          <w:b/>
          <w:bCs/>
          <w:spacing w:val="-3"/>
          <w:position w:val="-1"/>
          <w:sz w:val="22"/>
          <w:u w:val="thick" w:color="000000"/>
        </w:rPr>
        <w:t>A</w:t>
      </w:r>
      <w:r w:rsidRPr="000D15C3">
        <w:rPr>
          <w:rFonts w:ascii="Verdana" w:eastAsia="Verdana" w:hAnsi="Verdana" w:cs="Verdana"/>
          <w:b/>
          <w:bCs/>
          <w:position w:val="-1"/>
          <w:sz w:val="22"/>
          <w:u w:val="thick" w:color="000000"/>
        </w:rPr>
        <w:t>NIA</w:t>
      </w:r>
      <w:r w:rsidRPr="000D15C3">
        <w:rPr>
          <w:rFonts w:ascii="Verdana" w:eastAsia="Verdana" w:hAnsi="Verdana" w:cs="Verdana"/>
          <w:b/>
          <w:bCs/>
          <w:spacing w:val="2"/>
          <w:position w:val="-1"/>
          <w:sz w:val="22"/>
          <w:u w:val="thick" w:color="000000"/>
        </w:rPr>
        <w:t xml:space="preserve"> </w:t>
      </w:r>
      <w:r w:rsidRPr="000D15C3">
        <w:rPr>
          <w:rFonts w:ascii="Verdana" w:eastAsia="Verdana" w:hAnsi="Verdana" w:cs="Verdana"/>
          <w:b/>
          <w:bCs/>
          <w:spacing w:val="-2"/>
          <w:position w:val="-1"/>
          <w:sz w:val="22"/>
          <w:u w:val="thick" w:color="000000"/>
        </w:rPr>
        <w:t>GE</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R</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position w:val="-1"/>
          <w:sz w:val="22"/>
          <w:u w:val="thick" w:color="000000"/>
        </w:rPr>
        <w:t>L</w:t>
      </w:r>
      <w:r w:rsidRPr="000D15C3">
        <w:rPr>
          <w:rFonts w:ascii="Verdana" w:eastAsia="Verdana" w:hAnsi="Verdana" w:cs="Verdana"/>
          <w:b/>
          <w:bCs/>
          <w:spacing w:val="-5"/>
          <w:position w:val="-1"/>
          <w:sz w:val="22"/>
          <w:u w:val="thick" w:color="000000"/>
        </w:rPr>
        <w:t xml:space="preserve"> </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spacing w:val="-3"/>
          <w:position w:val="-1"/>
          <w:sz w:val="22"/>
          <w:u w:val="thick" w:color="000000"/>
        </w:rPr>
        <w:t>S</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2"/>
          <w:position w:val="-1"/>
          <w:sz w:val="22"/>
          <w:u w:val="thick" w:color="000000"/>
        </w:rPr>
        <w:t>M</w:t>
      </w:r>
      <w:r w:rsidRPr="000D15C3">
        <w:rPr>
          <w:rFonts w:ascii="Verdana" w:eastAsia="Verdana" w:hAnsi="Verdana" w:cs="Verdana"/>
          <w:b/>
          <w:bCs/>
          <w:position w:val="-1"/>
          <w:sz w:val="22"/>
          <w:u w:val="thick" w:color="000000"/>
        </w:rPr>
        <w:t>B</w:t>
      </w:r>
      <w:r w:rsidRPr="000D15C3">
        <w:rPr>
          <w:rFonts w:ascii="Verdana" w:eastAsia="Verdana" w:hAnsi="Verdana" w:cs="Verdana"/>
          <w:b/>
          <w:bCs/>
          <w:spacing w:val="-2"/>
          <w:position w:val="-1"/>
          <w:sz w:val="22"/>
          <w:u w:val="thick" w:color="000000"/>
        </w:rPr>
        <w:t>L</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3"/>
          <w:position w:val="-1"/>
          <w:sz w:val="22"/>
          <w:u w:val="thick" w:color="000000"/>
        </w:rPr>
        <w:t xml:space="preserve"> 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SS</w:t>
      </w:r>
      <w:r w:rsidRPr="000D15C3">
        <w:rPr>
          <w:rFonts w:ascii="Verdana" w:eastAsia="Verdana" w:hAnsi="Verdana" w:cs="Verdana"/>
          <w:b/>
          <w:bCs/>
          <w:position w:val="-1"/>
          <w:sz w:val="22"/>
          <w:u w:val="thick" w:color="000000"/>
        </w:rPr>
        <w:t>I</w:t>
      </w:r>
      <w:r w:rsidRPr="000D15C3">
        <w:rPr>
          <w:rFonts w:ascii="Verdana" w:eastAsia="Verdana" w:hAnsi="Verdana" w:cs="Verdana"/>
          <w:b/>
          <w:bCs/>
          <w:spacing w:val="-1"/>
          <w:position w:val="-1"/>
          <w:sz w:val="22"/>
          <w:u w:val="thick" w:color="000000"/>
        </w:rPr>
        <w:t>O</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3"/>
          <w:position w:val="-1"/>
          <w:sz w:val="22"/>
          <w:u w:val="thick" w:color="000000"/>
        </w:rPr>
        <w:t xml:space="preserve"> </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C</w:t>
      </w:r>
      <w:r w:rsidRPr="000D15C3">
        <w:rPr>
          <w:rFonts w:ascii="Verdana" w:eastAsia="Verdana" w:hAnsi="Verdana" w:cs="Verdana"/>
          <w:b/>
          <w:bCs/>
          <w:spacing w:val="2"/>
          <w:position w:val="-1"/>
          <w:sz w:val="22"/>
          <w:u w:val="thick" w:color="000000"/>
        </w:rPr>
        <w:t>H</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D</w:t>
      </w:r>
      <w:r w:rsidRPr="000D15C3">
        <w:rPr>
          <w:rFonts w:ascii="Verdana" w:eastAsia="Verdana" w:hAnsi="Verdana" w:cs="Verdana"/>
          <w:b/>
          <w:bCs/>
          <w:spacing w:val="-2"/>
          <w:position w:val="-1"/>
          <w:sz w:val="22"/>
          <w:u w:val="thick" w:color="000000"/>
        </w:rPr>
        <w:t>UL</w:t>
      </w:r>
      <w:r w:rsidRPr="000D15C3">
        <w:rPr>
          <w:rFonts w:ascii="Verdana" w:eastAsia="Verdana" w:hAnsi="Verdana" w:cs="Verdana"/>
          <w:b/>
          <w:bCs/>
          <w:spacing w:val="4"/>
          <w:position w:val="-1"/>
          <w:sz w:val="22"/>
          <w:u w:val="thick" w:color="000000"/>
        </w:rPr>
        <w:t>E</w:t>
      </w:r>
      <w:r w:rsidRPr="000D15C3">
        <w:rPr>
          <w:rFonts w:ascii="Verdana" w:eastAsia="Verdana" w:hAnsi="Verdana" w:cs="Verdana"/>
          <w:b/>
          <w:bCs/>
          <w:position w:val="-1"/>
          <w:sz w:val="22"/>
        </w:rPr>
        <w:t>:</w:t>
      </w:r>
    </w:p>
    <w:p w:rsidR="00D34264" w:rsidRPr="00F46849" w:rsidRDefault="003A75E4" w:rsidP="00D34264">
      <w:pPr>
        <w:pStyle w:val="NoSpacing"/>
        <w:spacing w:before="0" w:beforeAutospacing="0" w:after="0" w:afterAutospacing="0"/>
        <w:rPr>
          <w:rFonts w:ascii="Verdana" w:hAnsi="Verdana"/>
          <w:b/>
          <w:bCs/>
          <w:sz w:val="20"/>
          <w:szCs w:val="19"/>
        </w:rPr>
      </w:pPr>
      <w:r w:rsidRPr="00F46849">
        <w:rPr>
          <w:rFonts w:ascii="Verdana" w:hAnsi="Verdana"/>
          <w:b/>
          <w:bCs/>
          <w:sz w:val="20"/>
          <w:szCs w:val="19"/>
        </w:rPr>
        <w:t>20</w:t>
      </w:r>
      <w:r w:rsidR="009F4555" w:rsidRPr="00F46849">
        <w:rPr>
          <w:rFonts w:ascii="Verdana" w:hAnsi="Verdana"/>
          <w:b/>
          <w:bCs/>
          <w:sz w:val="20"/>
          <w:szCs w:val="19"/>
        </w:rPr>
        <w:t>18</w:t>
      </w:r>
      <w:r w:rsidR="00D34264" w:rsidRPr="00F46849">
        <w:rPr>
          <w:rFonts w:ascii="Verdana" w:hAnsi="Verdana"/>
          <w:b/>
          <w:bCs/>
          <w:sz w:val="20"/>
          <w:szCs w:val="19"/>
        </w:rPr>
        <w:t xml:space="preserve"> SENATE SESSION SCHEDULE</w:t>
      </w:r>
    </w:p>
    <w:p w:rsidR="00A42BD2" w:rsidRPr="00F46849" w:rsidRDefault="00A42BD2" w:rsidP="00D34264">
      <w:pPr>
        <w:pStyle w:val="NoSpacing"/>
        <w:spacing w:before="0" w:beforeAutospacing="0" w:after="0" w:afterAutospacing="0"/>
        <w:rPr>
          <w:rFonts w:ascii="Verdana" w:hAnsi="Verdana"/>
          <w:b/>
          <w:sz w:val="4"/>
          <w:szCs w:val="19"/>
        </w:rPr>
      </w:pPr>
    </w:p>
    <w:p w:rsidR="009F4555" w:rsidRPr="00F46849" w:rsidRDefault="009F4555" w:rsidP="009F4555">
      <w:pPr>
        <w:pStyle w:val="NoSpacing"/>
        <w:spacing w:before="0" w:beforeAutospacing="0" w:after="0" w:afterAutospacing="0" w:line="275" w:lineRule="atLeast"/>
        <w:rPr>
          <w:rFonts w:ascii="Verdana" w:hAnsi="Verdana"/>
          <w:color w:val="000000"/>
          <w:sz w:val="20"/>
          <w:szCs w:val="19"/>
        </w:rPr>
      </w:pPr>
      <w:r w:rsidRPr="00F46849">
        <w:rPr>
          <w:rFonts w:ascii="Verdana" w:hAnsi="Verdana"/>
          <w:bCs/>
          <w:color w:val="000000"/>
          <w:sz w:val="20"/>
          <w:szCs w:val="19"/>
        </w:rPr>
        <w:t>January          22, 23, 24, 29, 30, 31</w:t>
      </w:r>
    </w:p>
    <w:p w:rsidR="009F4555" w:rsidRPr="00F46849" w:rsidRDefault="009F4555" w:rsidP="009F4555">
      <w:pPr>
        <w:pStyle w:val="NoSpacing"/>
        <w:spacing w:before="0" w:beforeAutospacing="0" w:after="0" w:afterAutospacing="0" w:line="275" w:lineRule="atLeast"/>
        <w:rPr>
          <w:rFonts w:ascii="Verdana" w:hAnsi="Verdana"/>
          <w:color w:val="000000"/>
          <w:sz w:val="20"/>
          <w:szCs w:val="19"/>
        </w:rPr>
      </w:pPr>
      <w:r w:rsidRPr="00F46849">
        <w:rPr>
          <w:rFonts w:ascii="Verdana" w:hAnsi="Verdana"/>
          <w:bCs/>
          <w:color w:val="000000"/>
          <w:sz w:val="20"/>
          <w:szCs w:val="19"/>
        </w:rPr>
        <w:t>February         5, 6, 7</w:t>
      </w:r>
    </w:p>
    <w:p w:rsidR="009F4555" w:rsidRPr="00F46849" w:rsidRDefault="009F4555" w:rsidP="009F4555">
      <w:pPr>
        <w:pStyle w:val="NoSpacing"/>
        <w:spacing w:before="0" w:beforeAutospacing="0" w:after="0" w:afterAutospacing="0" w:line="275" w:lineRule="atLeast"/>
        <w:rPr>
          <w:rFonts w:ascii="Verdana" w:hAnsi="Verdana"/>
          <w:color w:val="000000"/>
          <w:sz w:val="20"/>
          <w:szCs w:val="19"/>
        </w:rPr>
      </w:pPr>
      <w:r w:rsidRPr="00F46849">
        <w:rPr>
          <w:rFonts w:ascii="Verdana" w:hAnsi="Verdana"/>
          <w:bCs/>
          <w:color w:val="000000"/>
          <w:sz w:val="20"/>
          <w:szCs w:val="19"/>
        </w:rPr>
        <w:t>March             19, 20, 21, 26, 27, 28</w:t>
      </w:r>
    </w:p>
    <w:p w:rsidR="009F4555" w:rsidRPr="00F46849" w:rsidRDefault="009F4555" w:rsidP="009F4555">
      <w:pPr>
        <w:pStyle w:val="NoSpacing"/>
        <w:spacing w:before="0" w:beforeAutospacing="0" w:after="0" w:afterAutospacing="0" w:line="275" w:lineRule="atLeast"/>
        <w:rPr>
          <w:rFonts w:ascii="Verdana" w:hAnsi="Verdana"/>
          <w:color w:val="000000"/>
          <w:sz w:val="20"/>
          <w:szCs w:val="19"/>
        </w:rPr>
      </w:pPr>
      <w:r w:rsidRPr="00F46849">
        <w:rPr>
          <w:rFonts w:ascii="Verdana" w:hAnsi="Verdana"/>
          <w:bCs/>
          <w:color w:val="000000"/>
          <w:sz w:val="20"/>
          <w:szCs w:val="19"/>
        </w:rPr>
        <w:t>April               16, 17, 18, 23, 24, 25, 30</w:t>
      </w:r>
    </w:p>
    <w:p w:rsidR="009F4555" w:rsidRPr="00F46849" w:rsidRDefault="009F4555" w:rsidP="009F4555">
      <w:pPr>
        <w:pStyle w:val="NoSpacing"/>
        <w:spacing w:before="0" w:beforeAutospacing="0" w:after="0" w:afterAutospacing="0" w:line="275" w:lineRule="atLeast"/>
        <w:rPr>
          <w:rFonts w:ascii="Verdana" w:hAnsi="Verdana"/>
          <w:color w:val="000000"/>
          <w:sz w:val="20"/>
          <w:szCs w:val="19"/>
        </w:rPr>
      </w:pPr>
      <w:r w:rsidRPr="00F46849">
        <w:rPr>
          <w:rFonts w:ascii="Verdana" w:hAnsi="Verdana"/>
          <w:bCs/>
          <w:color w:val="000000"/>
          <w:sz w:val="20"/>
          <w:szCs w:val="19"/>
        </w:rPr>
        <w:t>May                1, 2, 21, 22, 23</w:t>
      </w:r>
    </w:p>
    <w:p w:rsidR="009F4555" w:rsidRPr="00F46849" w:rsidRDefault="009F4555" w:rsidP="009F4555">
      <w:pPr>
        <w:pStyle w:val="NoSpacing"/>
        <w:spacing w:before="0" w:beforeAutospacing="0" w:after="0" w:afterAutospacing="0" w:line="275" w:lineRule="atLeast"/>
        <w:rPr>
          <w:rFonts w:ascii="Verdana" w:hAnsi="Verdana"/>
          <w:color w:val="000000"/>
          <w:sz w:val="20"/>
          <w:szCs w:val="19"/>
        </w:rPr>
      </w:pPr>
      <w:r w:rsidRPr="00F46849">
        <w:rPr>
          <w:rFonts w:ascii="Verdana" w:hAnsi="Verdana"/>
          <w:bCs/>
          <w:color w:val="000000"/>
          <w:sz w:val="20"/>
          <w:szCs w:val="19"/>
        </w:rPr>
        <w:t>June               4, 5, 6, 11, 12, 13, 18, 19, 20, 25, 26, 27, 28, 29</w:t>
      </w:r>
    </w:p>
    <w:p w:rsidR="00B34D40" w:rsidRPr="00F46849" w:rsidRDefault="00B34D40" w:rsidP="004523AB">
      <w:pPr>
        <w:pStyle w:val="NoSpacing"/>
        <w:spacing w:before="0" w:beforeAutospacing="0" w:after="0" w:afterAutospacing="0" w:line="275" w:lineRule="atLeast"/>
        <w:rPr>
          <w:rFonts w:ascii="Verdana" w:hAnsi="Verdana"/>
          <w:b/>
          <w:sz w:val="10"/>
          <w:szCs w:val="19"/>
        </w:rPr>
      </w:pPr>
    </w:p>
    <w:p w:rsidR="00B7758B" w:rsidRPr="00F46849" w:rsidRDefault="004A61A3" w:rsidP="004523AB">
      <w:pPr>
        <w:pStyle w:val="NoSpacing"/>
        <w:spacing w:before="0" w:beforeAutospacing="0" w:after="0" w:afterAutospacing="0" w:line="275" w:lineRule="atLeast"/>
        <w:rPr>
          <w:rFonts w:ascii="Verdana" w:hAnsi="Verdana"/>
          <w:bCs/>
          <w:color w:val="000000"/>
          <w:sz w:val="20"/>
          <w:szCs w:val="19"/>
        </w:rPr>
      </w:pPr>
      <w:r w:rsidRPr="00F46849">
        <w:rPr>
          <w:rFonts w:ascii="Verdana" w:hAnsi="Verdana"/>
          <w:b/>
          <w:sz w:val="20"/>
          <w:szCs w:val="19"/>
        </w:rPr>
        <w:t>20</w:t>
      </w:r>
      <w:r w:rsidR="003A75E4" w:rsidRPr="00F46849">
        <w:rPr>
          <w:rFonts w:ascii="Verdana" w:hAnsi="Verdana"/>
          <w:b/>
          <w:sz w:val="20"/>
          <w:szCs w:val="19"/>
        </w:rPr>
        <w:t>18</w:t>
      </w:r>
      <w:r w:rsidR="00B7758B" w:rsidRPr="00F46849">
        <w:rPr>
          <w:rFonts w:ascii="Verdana" w:hAnsi="Verdana"/>
          <w:b/>
          <w:sz w:val="20"/>
          <w:szCs w:val="19"/>
        </w:rPr>
        <w:t xml:space="preserve"> HOUSE SESSION SCHEDULE</w:t>
      </w:r>
    </w:p>
    <w:p w:rsidR="00CF6C03" w:rsidRPr="00F46849" w:rsidRDefault="00CF6C03" w:rsidP="00B7758B">
      <w:pPr>
        <w:pStyle w:val="NoSpacing"/>
        <w:spacing w:before="0" w:beforeAutospacing="0" w:after="0" w:afterAutospacing="0"/>
        <w:rPr>
          <w:rFonts w:ascii="Verdana" w:hAnsi="Verdana"/>
          <w:b/>
          <w:sz w:val="6"/>
          <w:szCs w:val="19"/>
        </w:rPr>
      </w:pPr>
    </w:p>
    <w:p w:rsidR="00E25B97" w:rsidRPr="00F46849" w:rsidRDefault="00E25B97" w:rsidP="00E25B97">
      <w:pPr>
        <w:pStyle w:val="NoSpacing"/>
        <w:spacing w:before="0" w:beforeAutospacing="0" w:after="0" w:afterAutospacing="0" w:line="275" w:lineRule="atLeast"/>
        <w:rPr>
          <w:rFonts w:ascii="Verdana" w:hAnsi="Verdana"/>
          <w:color w:val="000000"/>
          <w:sz w:val="20"/>
          <w:szCs w:val="19"/>
        </w:rPr>
      </w:pPr>
      <w:r w:rsidRPr="00F46849">
        <w:rPr>
          <w:rFonts w:ascii="Verdana" w:hAnsi="Verdana"/>
          <w:bCs/>
          <w:color w:val="000000"/>
          <w:sz w:val="20"/>
          <w:szCs w:val="19"/>
        </w:rPr>
        <w:t>January          22, 23, 24</w:t>
      </w:r>
    </w:p>
    <w:p w:rsidR="00E25B97" w:rsidRPr="00F46849" w:rsidRDefault="00E25B97" w:rsidP="00E25B97">
      <w:pPr>
        <w:pStyle w:val="NoSpacing"/>
        <w:spacing w:before="0" w:beforeAutospacing="0" w:after="0" w:afterAutospacing="0" w:line="275" w:lineRule="atLeast"/>
        <w:rPr>
          <w:rFonts w:ascii="Verdana" w:hAnsi="Verdana"/>
          <w:color w:val="000000"/>
          <w:sz w:val="20"/>
          <w:szCs w:val="19"/>
        </w:rPr>
      </w:pPr>
      <w:r w:rsidRPr="00F46849">
        <w:rPr>
          <w:rFonts w:ascii="Verdana" w:hAnsi="Verdana"/>
          <w:bCs/>
          <w:color w:val="000000"/>
          <w:sz w:val="20"/>
          <w:szCs w:val="19"/>
        </w:rPr>
        <w:t>February         5, 6, 7</w:t>
      </w:r>
    </w:p>
    <w:p w:rsidR="00E25B97" w:rsidRPr="00F46849" w:rsidRDefault="00E25B97" w:rsidP="00E25B97">
      <w:pPr>
        <w:pStyle w:val="NoSpacing"/>
        <w:spacing w:before="0" w:beforeAutospacing="0" w:after="0" w:afterAutospacing="0" w:line="275" w:lineRule="atLeast"/>
        <w:rPr>
          <w:rFonts w:ascii="Verdana" w:hAnsi="Verdana"/>
          <w:color w:val="000000"/>
          <w:sz w:val="20"/>
          <w:szCs w:val="19"/>
        </w:rPr>
      </w:pPr>
      <w:r w:rsidRPr="00F46849">
        <w:rPr>
          <w:rFonts w:ascii="Verdana" w:hAnsi="Verdana"/>
          <w:bCs/>
          <w:color w:val="000000"/>
          <w:sz w:val="20"/>
          <w:szCs w:val="19"/>
        </w:rPr>
        <w:t>March             12, 13, 14 </w:t>
      </w:r>
    </w:p>
    <w:p w:rsidR="00E25B97" w:rsidRPr="00F46849" w:rsidRDefault="00E25B97" w:rsidP="00E25B97">
      <w:pPr>
        <w:pStyle w:val="NoSpacing"/>
        <w:spacing w:before="0" w:beforeAutospacing="0" w:after="0" w:afterAutospacing="0" w:line="275" w:lineRule="atLeast"/>
        <w:rPr>
          <w:rFonts w:ascii="Verdana" w:hAnsi="Verdana"/>
          <w:color w:val="000000"/>
          <w:sz w:val="20"/>
          <w:szCs w:val="19"/>
        </w:rPr>
      </w:pPr>
      <w:r w:rsidRPr="00F46849">
        <w:rPr>
          <w:rFonts w:ascii="Verdana" w:hAnsi="Verdana"/>
          <w:bCs/>
          <w:color w:val="000000"/>
          <w:sz w:val="20"/>
          <w:szCs w:val="19"/>
        </w:rPr>
        <w:t>April               9, 10, 11, 16, 17, 18, 30</w:t>
      </w:r>
    </w:p>
    <w:p w:rsidR="00E25B97" w:rsidRPr="00F46849" w:rsidRDefault="00E25B97" w:rsidP="00E25B97">
      <w:pPr>
        <w:pStyle w:val="NoSpacing"/>
        <w:spacing w:before="0" w:beforeAutospacing="0" w:after="0" w:afterAutospacing="0" w:line="275" w:lineRule="atLeast"/>
        <w:rPr>
          <w:rFonts w:ascii="Verdana" w:hAnsi="Verdana"/>
          <w:color w:val="000000"/>
          <w:sz w:val="20"/>
          <w:szCs w:val="19"/>
        </w:rPr>
      </w:pPr>
      <w:r w:rsidRPr="00F46849">
        <w:rPr>
          <w:rFonts w:ascii="Verdana" w:hAnsi="Verdana"/>
          <w:bCs/>
          <w:color w:val="000000"/>
          <w:sz w:val="20"/>
          <w:szCs w:val="19"/>
        </w:rPr>
        <w:t>May                1, 2, 22, 23</w:t>
      </w:r>
    </w:p>
    <w:p w:rsidR="00E25B97" w:rsidRPr="00F46849" w:rsidRDefault="00E25B97" w:rsidP="00E25B97">
      <w:pPr>
        <w:pStyle w:val="NoSpacing"/>
        <w:spacing w:before="0" w:beforeAutospacing="0" w:after="0" w:afterAutospacing="0" w:line="275" w:lineRule="atLeast"/>
        <w:rPr>
          <w:rFonts w:ascii="Verdana" w:hAnsi="Verdana"/>
          <w:bCs/>
          <w:color w:val="000000"/>
          <w:sz w:val="20"/>
          <w:szCs w:val="19"/>
        </w:rPr>
      </w:pPr>
      <w:r w:rsidRPr="00F46849">
        <w:rPr>
          <w:rFonts w:ascii="Verdana" w:hAnsi="Verdana"/>
          <w:bCs/>
          <w:color w:val="000000"/>
          <w:sz w:val="20"/>
          <w:szCs w:val="19"/>
        </w:rPr>
        <w:t>June                4, 5, 6, 11, 12, 13, 18, 19, 20, 21, 25, 26, 27, 28, 29, 30</w:t>
      </w:r>
    </w:p>
    <w:p w:rsidR="00F46849" w:rsidRDefault="00F46849" w:rsidP="00E25B97">
      <w:pPr>
        <w:pStyle w:val="NoSpacing"/>
        <w:spacing w:before="0" w:beforeAutospacing="0" w:after="0" w:afterAutospacing="0" w:line="275" w:lineRule="atLeast"/>
        <w:rPr>
          <w:rFonts w:ascii="Verdana" w:hAnsi="Verdana"/>
          <w:bCs/>
          <w:color w:val="000000"/>
          <w:sz w:val="20"/>
        </w:rPr>
      </w:pPr>
    </w:p>
    <w:p w:rsidR="003A75E4" w:rsidRPr="00B34D40"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B34D40" w:rsidRPr="00F46849" w:rsidRDefault="00B34D40" w:rsidP="003A75E4">
      <w:pPr>
        <w:widowControl/>
        <w:spacing w:after="0" w:line="240" w:lineRule="auto"/>
        <w:rPr>
          <w:rFonts w:ascii="Verdana" w:eastAsia="Times New Roman" w:hAnsi="Verdana" w:cs="Times New Roman"/>
          <w:b/>
          <w:bCs/>
          <w:color w:val="000000"/>
          <w:sz w:val="19"/>
          <w:szCs w:val="19"/>
          <w:shd w:val="clear" w:color="auto" w:fill="FFFFFF"/>
        </w:rPr>
      </w:pPr>
    </w:p>
    <w:p w:rsidR="003A75E4" w:rsidRPr="00F46849" w:rsidRDefault="008A7231" w:rsidP="003A75E4">
      <w:pPr>
        <w:widowControl/>
        <w:spacing w:after="0" w:line="240" w:lineRule="auto"/>
        <w:rPr>
          <w:rFonts w:ascii="Verdana" w:eastAsia="Times New Roman" w:hAnsi="Verdana" w:cs="Times New Roman"/>
          <w:sz w:val="19"/>
          <w:szCs w:val="19"/>
        </w:rPr>
      </w:pPr>
      <w:hyperlink r:id="rId11" w:tgtFrame="MainBody" w:history="1">
        <w:r w:rsidR="003A75E4" w:rsidRPr="00F46849">
          <w:rPr>
            <w:rFonts w:ascii="Verdana" w:eastAsia="Times New Roman" w:hAnsi="Verdana" w:cs="Times New Roman"/>
            <w:b/>
            <w:bCs/>
            <w:color w:val="0000FF"/>
            <w:sz w:val="19"/>
            <w:szCs w:val="19"/>
            <w:u w:val="single"/>
            <w:shd w:val="clear" w:color="auto" w:fill="FFFFFF"/>
          </w:rPr>
          <w:t>House Finance</w:t>
        </w:r>
      </w:hyperlink>
      <w:r w:rsidR="003A75E4" w:rsidRPr="00F46849">
        <w:rPr>
          <w:rFonts w:ascii="Verdana" w:eastAsia="Times New Roman" w:hAnsi="Verdana" w:cs="Times New Roman"/>
          <w:b/>
          <w:bCs/>
          <w:color w:val="000000"/>
          <w:sz w:val="19"/>
          <w:szCs w:val="19"/>
          <w:shd w:val="clear" w:color="auto" w:fill="FFFFFF"/>
        </w:rPr>
        <w:t>    </w:t>
      </w:r>
      <w:r w:rsidR="003A75E4" w:rsidRPr="00F46849">
        <w:rPr>
          <w:rFonts w:ascii="Verdana" w:eastAsia="Times New Roman" w:hAnsi="Verdana" w:cs="Times New Roman"/>
          <w:b/>
          <w:bCs/>
          <w:color w:val="BB0000"/>
          <w:sz w:val="19"/>
          <w:szCs w:val="19"/>
          <w:shd w:val="clear" w:color="auto" w:fill="FFFFFF"/>
        </w:rPr>
        <w:t>  </w:t>
      </w:r>
      <w:r w:rsidR="003A75E4" w:rsidRPr="00F46849">
        <w:rPr>
          <w:rFonts w:ascii="Verdana" w:eastAsia="Times New Roman" w:hAnsi="Verdana" w:cs="Times New Roman"/>
          <w:color w:val="000000"/>
          <w:sz w:val="19"/>
          <w:szCs w:val="19"/>
        </w:rPr>
        <w:br/>
      </w:r>
      <w:r w:rsidR="003A75E4" w:rsidRPr="00F46849">
        <w:rPr>
          <w:rFonts w:ascii="Verdana" w:eastAsia="Times New Roman" w:hAnsi="Verdana" w:cs="Times New Roman"/>
          <w:b/>
          <w:bCs/>
          <w:color w:val="000000"/>
          <w:sz w:val="19"/>
          <w:szCs w:val="19"/>
          <w:shd w:val="clear" w:color="auto" w:fill="FFFFFF"/>
        </w:rPr>
        <w:t>TUESDAY - 1/23/18</w:t>
      </w:r>
      <w:r w:rsidR="003A75E4" w:rsidRPr="00F46849">
        <w:rPr>
          <w:rFonts w:ascii="Verdana" w:eastAsia="Times New Roman" w:hAnsi="Verdana" w:cs="Times New Roman"/>
          <w:color w:val="000000"/>
          <w:sz w:val="19"/>
          <w:szCs w:val="19"/>
        </w:rPr>
        <w:br/>
      </w:r>
      <w:r w:rsidR="003A75E4" w:rsidRPr="00F46849">
        <w:rPr>
          <w:rFonts w:ascii="Verdana" w:eastAsia="Times New Roman" w:hAnsi="Verdana" w:cs="Times New Roman"/>
          <w:b/>
          <w:bCs/>
          <w:color w:val="000000"/>
          <w:sz w:val="19"/>
          <w:szCs w:val="19"/>
          <w:shd w:val="clear" w:color="auto" w:fill="FFFFFF"/>
        </w:rPr>
        <w:t>9:30 a.m., Room 205, Ryan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0"/>
      </w:tblGrid>
      <w:tr w:rsidR="003A75E4" w:rsidRPr="00F46849" w:rsidTr="003A75E4">
        <w:trPr>
          <w:tblCellSpacing w:w="15" w:type="dxa"/>
        </w:trPr>
        <w:tc>
          <w:tcPr>
            <w:tcW w:w="225" w:type="dxa"/>
            <w:shd w:val="clear" w:color="auto" w:fill="FFFFFF"/>
            <w:vAlign w:val="center"/>
            <w:hideMark/>
          </w:tcPr>
          <w:p w:rsidR="003A75E4" w:rsidRPr="00F46849" w:rsidRDefault="003A75E4" w:rsidP="003A75E4">
            <w:pPr>
              <w:widowControl/>
              <w:spacing w:after="0" w:line="240" w:lineRule="auto"/>
              <w:rPr>
                <w:rFonts w:ascii="Verdana" w:eastAsia="Times New Roman" w:hAnsi="Verdana" w:cs="Times New Roman"/>
                <w:sz w:val="19"/>
                <w:szCs w:val="19"/>
              </w:rPr>
            </w:pPr>
            <w:r w:rsidRPr="00F46849">
              <w:rPr>
                <w:rFonts w:ascii="Verdana" w:eastAsia="Times New Roman" w:hAnsi="Verdana" w:cs="Times New Roman"/>
                <w:sz w:val="19"/>
                <w:szCs w:val="19"/>
              </w:rPr>
              <w:t> </w:t>
            </w:r>
          </w:p>
        </w:tc>
        <w:tc>
          <w:tcPr>
            <w:tcW w:w="0" w:type="auto"/>
            <w:shd w:val="clear" w:color="auto" w:fill="FFFFFF"/>
            <w:vAlign w:val="center"/>
            <w:hideMark/>
          </w:tcPr>
          <w:p w:rsidR="003A75E4" w:rsidRPr="00F46849" w:rsidRDefault="003A75E4" w:rsidP="003A75E4">
            <w:pPr>
              <w:widowControl/>
              <w:spacing w:after="0" w:line="240" w:lineRule="auto"/>
              <w:rPr>
                <w:rFonts w:ascii="Verdana" w:eastAsia="Times New Roman" w:hAnsi="Verdana" w:cs="Times New Roman"/>
                <w:sz w:val="19"/>
                <w:szCs w:val="19"/>
              </w:rPr>
            </w:pPr>
            <w:r w:rsidRPr="00F46849">
              <w:rPr>
                <w:rFonts w:ascii="Verdana" w:eastAsia="Times New Roman" w:hAnsi="Verdana" w:cs="Times New Roman"/>
                <w:sz w:val="19"/>
                <w:szCs w:val="19"/>
              </w:rPr>
              <w:t>To consider:</w:t>
            </w: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5423"/>
            </w:tblGrid>
            <w:tr w:rsidR="003A75E4" w:rsidRPr="00F46849">
              <w:trPr>
                <w:tblCellSpacing w:w="15" w:type="dxa"/>
              </w:trPr>
              <w:tc>
                <w:tcPr>
                  <w:tcW w:w="225" w:type="dxa"/>
                  <w:hideMark/>
                </w:tcPr>
                <w:p w:rsidR="003A75E4" w:rsidRPr="00F46849" w:rsidRDefault="003A75E4" w:rsidP="003A75E4">
                  <w:pPr>
                    <w:widowControl/>
                    <w:spacing w:after="0" w:line="240" w:lineRule="auto"/>
                    <w:rPr>
                      <w:rFonts w:ascii="Verdana" w:eastAsia="Times New Roman" w:hAnsi="Verdana" w:cs="Times New Roman"/>
                      <w:sz w:val="19"/>
                      <w:szCs w:val="19"/>
                    </w:rPr>
                  </w:pPr>
                </w:p>
              </w:tc>
              <w:tc>
                <w:tcPr>
                  <w:tcW w:w="1350" w:type="dxa"/>
                  <w:hideMark/>
                </w:tcPr>
                <w:p w:rsidR="003A75E4" w:rsidRPr="00F46849" w:rsidRDefault="008A7231" w:rsidP="003A75E4">
                  <w:pPr>
                    <w:widowControl/>
                    <w:spacing w:after="0" w:line="240" w:lineRule="auto"/>
                    <w:rPr>
                      <w:rFonts w:ascii="Verdana" w:eastAsia="Times New Roman" w:hAnsi="Verdana" w:cs="Times New Roman"/>
                      <w:sz w:val="19"/>
                      <w:szCs w:val="19"/>
                    </w:rPr>
                  </w:pPr>
                  <w:hyperlink r:id="rId12" w:tgtFrame="_new" w:history="1">
                    <w:r w:rsidR="003A75E4" w:rsidRPr="00F46849">
                      <w:rPr>
                        <w:rFonts w:ascii="Verdana" w:eastAsia="Times New Roman" w:hAnsi="Verdana" w:cs="Times New Roman"/>
                        <w:color w:val="0000FF"/>
                        <w:sz w:val="19"/>
                        <w:szCs w:val="19"/>
                        <w:u w:val="single"/>
                      </w:rPr>
                      <w:t>HB 994</w:t>
                    </w:r>
                  </w:hyperlink>
                  <w:r w:rsidR="003A75E4" w:rsidRPr="00F46849">
                    <w:rPr>
                      <w:rFonts w:ascii="Verdana" w:eastAsia="Times New Roman" w:hAnsi="Verdana" w:cs="Times New Roman"/>
                      <w:sz w:val="19"/>
                      <w:szCs w:val="19"/>
                    </w:rPr>
                    <w:t>  </w:t>
                  </w:r>
                </w:p>
              </w:tc>
              <w:tc>
                <w:tcPr>
                  <w:tcW w:w="2550" w:type="dxa"/>
                  <w:hideMark/>
                </w:tcPr>
                <w:p w:rsidR="003A75E4" w:rsidRPr="00F46849" w:rsidRDefault="008A7231" w:rsidP="003A75E4">
                  <w:pPr>
                    <w:widowControl/>
                    <w:spacing w:after="0" w:line="240" w:lineRule="auto"/>
                    <w:rPr>
                      <w:rFonts w:ascii="Verdana" w:eastAsia="Times New Roman" w:hAnsi="Verdana" w:cs="Times New Roman"/>
                      <w:sz w:val="19"/>
                      <w:szCs w:val="19"/>
                    </w:rPr>
                  </w:pPr>
                  <w:hyperlink r:id="rId13" w:tgtFrame="_new" w:history="1">
                    <w:r w:rsidR="003A75E4" w:rsidRPr="00F46849">
                      <w:rPr>
                        <w:rFonts w:ascii="Verdana" w:eastAsia="Times New Roman" w:hAnsi="Verdana" w:cs="Times New Roman"/>
                        <w:color w:val="0000FF"/>
                        <w:sz w:val="19"/>
                        <w:szCs w:val="19"/>
                        <w:u w:val="single"/>
                      </w:rPr>
                      <w:t>Grove, Seth</w:t>
                    </w:r>
                  </w:hyperlink>
                </w:p>
              </w:tc>
              <w:tc>
                <w:tcPr>
                  <w:tcW w:w="0" w:type="auto"/>
                  <w:hideMark/>
                </w:tcPr>
                <w:p w:rsidR="003A75E4" w:rsidRPr="00F46849" w:rsidRDefault="003A75E4" w:rsidP="003A75E4">
                  <w:pPr>
                    <w:widowControl/>
                    <w:spacing w:after="0" w:line="240" w:lineRule="auto"/>
                    <w:rPr>
                      <w:rFonts w:ascii="Verdana" w:eastAsia="Times New Roman" w:hAnsi="Verdana" w:cs="Times New Roman"/>
                      <w:sz w:val="19"/>
                      <w:szCs w:val="19"/>
                    </w:rPr>
                  </w:pPr>
                  <w:r w:rsidRPr="00F46849">
                    <w:rPr>
                      <w:rFonts w:ascii="Verdana" w:eastAsia="Times New Roman" w:hAnsi="Verdana" w:cs="Times New Roman"/>
                      <w:sz w:val="19"/>
                      <w:szCs w:val="19"/>
                    </w:rPr>
                    <w:t>Amends the Tax Reform Code, in gross receipts tax, further providing for imposition of tax.</w:t>
                  </w:r>
                </w:p>
              </w:tc>
            </w:tr>
          </w:tbl>
          <w:p w:rsidR="003A75E4" w:rsidRPr="00F46849" w:rsidRDefault="003A75E4" w:rsidP="003A75E4">
            <w:pPr>
              <w:widowControl/>
              <w:spacing w:after="0" w:line="240" w:lineRule="auto"/>
              <w:rPr>
                <w:rFonts w:ascii="Verdana" w:eastAsia="Times New Roman" w:hAnsi="Verdana" w:cs="Times New Roman"/>
                <w:vanish/>
                <w:sz w:val="19"/>
                <w:szCs w:val="19"/>
              </w:rPr>
            </w:pPr>
          </w:p>
          <w:p w:rsidR="003A75E4" w:rsidRPr="00F46849" w:rsidRDefault="003A75E4" w:rsidP="003A75E4">
            <w:pPr>
              <w:widowControl/>
              <w:spacing w:after="0" w:line="240" w:lineRule="auto"/>
              <w:rPr>
                <w:rFonts w:ascii="Verdana" w:eastAsia="Times New Roman" w:hAnsi="Verdana" w:cs="Times New Roman"/>
                <w:vanish/>
                <w:sz w:val="19"/>
                <w:szCs w:val="19"/>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5423"/>
            </w:tblGrid>
            <w:tr w:rsidR="003A75E4" w:rsidRPr="00F46849">
              <w:trPr>
                <w:tblCellSpacing w:w="15" w:type="dxa"/>
              </w:trPr>
              <w:tc>
                <w:tcPr>
                  <w:tcW w:w="225" w:type="dxa"/>
                  <w:hideMark/>
                </w:tcPr>
                <w:p w:rsidR="003A75E4" w:rsidRPr="00F46849" w:rsidRDefault="003A75E4" w:rsidP="003A75E4">
                  <w:pPr>
                    <w:widowControl/>
                    <w:spacing w:after="0" w:line="240" w:lineRule="auto"/>
                    <w:rPr>
                      <w:rFonts w:ascii="Verdana" w:eastAsia="Times New Roman" w:hAnsi="Verdana" w:cs="Times New Roman"/>
                      <w:sz w:val="19"/>
                      <w:szCs w:val="19"/>
                    </w:rPr>
                  </w:pPr>
                </w:p>
              </w:tc>
              <w:tc>
                <w:tcPr>
                  <w:tcW w:w="1350" w:type="dxa"/>
                  <w:hideMark/>
                </w:tcPr>
                <w:p w:rsidR="003A75E4" w:rsidRPr="00F46849" w:rsidRDefault="008A7231" w:rsidP="003A75E4">
                  <w:pPr>
                    <w:widowControl/>
                    <w:spacing w:after="0" w:line="240" w:lineRule="auto"/>
                    <w:rPr>
                      <w:rFonts w:ascii="Verdana" w:eastAsia="Times New Roman" w:hAnsi="Verdana" w:cs="Times New Roman"/>
                      <w:sz w:val="19"/>
                      <w:szCs w:val="19"/>
                    </w:rPr>
                  </w:pPr>
                  <w:hyperlink r:id="rId14" w:tgtFrame="_new" w:history="1">
                    <w:r w:rsidR="003A75E4" w:rsidRPr="00F46849">
                      <w:rPr>
                        <w:rFonts w:ascii="Verdana" w:eastAsia="Times New Roman" w:hAnsi="Verdana" w:cs="Times New Roman"/>
                        <w:color w:val="0000FF"/>
                        <w:sz w:val="19"/>
                        <w:szCs w:val="19"/>
                        <w:u w:val="single"/>
                      </w:rPr>
                      <w:t>HB 1098</w:t>
                    </w:r>
                  </w:hyperlink>
                  <w:r w:rsidR="003A75E4" w:rsidRPr="00F46849">
                    <w:rPr>
                      <w:rFonts w:ascii="Verdana" w:eastAsia="Times New Roman" w:hAnsi="Verdana" w:cs="Times New Roman"/>
                      <w:sz w:val="19"/>
                      <w:szCs w:val="19"/>
                    </w:rPr>
                    <w:t>  </w:t>
                  </w:r>
                </w:p>
              </w:tc>
              <w:tc>
                <w:tcPr>
                  <w:tcW w:w="2550" w:type="dxa"/>
                  <w:hideMark/>
                </w:tcPr>
                <w:p w:rsidR="003A75E4" w:rsidRPr="00F46849" w:rsidRDefault="008A7231" w:rsidP="003A75E4">
                  <w:pPr>
                    <w:widowControl/>
                    <w:spacing w:after="0" w:line="240" w:lineRule="auto"/>
                    <w:rPr>
                      <w:rFonts w:ascii="Verdana" w:eastAsia="Times New Roman" w:hAnsi="Verdana" w:cs="Times New Roman"/>
                      <w:sz w:val="19"/>
                      <w:szCs w:val="19"/>
                    </w:rPr>
                  </w:pPr>
                  <w:hyperlink r:id="rId15" w:tgtFrame="_new" w:history="1">
                    <w:r w:rsidR="003A75E4" w:rsidRPr="00F46849">
                      <w:rPr>
                        <w:rFonts w:ascii="Verdana" w:eastAsia="Times New Roman" w:hAnsi="Verdana" w:cs="Times New Roman"/>
                        <w:color w:val="0000FF"/>
                        <w:sz w:val="19"/>
                        <w:szCs w:val="19"/>
                        <w:u w:val="single"/>
                      </w:rPr>
                      <w:t>Peifer, Michael</w:t>
                    </w:r>
                  </w:hyperlink>
                </w:p>
              </w:tc>
              <w:tc>
                <w:tcPr>
                  <w:tcW w:w="0" w:type="auto"/>
                  <w:hideMark/>
                </w:tcPr>
                <w:p w:rsidR="003A75E4" w:rsidRPr="00F46849" w:rsidRDefault="003A75E4" w:rsidP="003A75E4">
                  <w:pPr>
                    <w:widowControl/>
                    <w:spacing w:after="0" w:line="240" w:lineRule="auto"/>
                    <w:rPr>
                      <w:rFonts w:ascii="Verdana" w:eastAsia="Times New Roman" w:hAnsi="Verdana" w:cs="Times New Roman"/>
                      <w:sz w:val="19"/>
                      <w:szCs w:val="19"/>
                    </w:rPr>
                  </w:pPr>
                  <w:r w:rsidRPr="00F46849">
                    <w:rPr>
                      <w:rFonts w:ascii="Verdana" w:eastAsia="Times New Roman" w:hAnsi="Verdana" w:cs="Times New Roman"/>
                      <w:sz w:val="19"/>
                      <w:szCs w:val="19"/>
                    </w:rPr>
                    <w:t>Amends The Local Tax Enabling Act, in local taxes, further providing for delegation of taxing powers and restrictions thereon; and, in consolidated collection of local income taxes, further providing for declaration and payment of income.</w:t>
                  </w:r>
                </w:p>
              </w:tc>
            </w:tr>
          </w:tbl>
          <w:p w:rsidR="003A75E4" w:rsidRPr="00F46849" w:rsidRDefault="003A75E4" w:rsidP="003A75E4">
            <w:pPr>
              <w:widowControl/>
              <w:spacing w:after="0" w:line="240" w:lineRule="auto"/>
              <w:rPr>
                <w:rFonts w:ascii="Verdana" w:eastAsia="Times New Roman" w:hAnsi="Verdana" w:cs="Times New Roman"/>
                <w:vanish/>
                <w:sz w:val="19"/>
                <w:szCs w:val="19"/>
              </w:rPr>
            </w:pPr>
          </w:p>
          <w:p w:rsidR="003A75E4" w:rsidRPr="00F46849" w:rsidRDefault="003A75E4" w:rsidP="003A75E4">
            <w:pPr>
              <w:widowControl/>
              <w:spacing w:after="0" w:line="240" w:lineRule="auto"/>
              <w:rPr>
                <w:rFonts w:ascii="Verdana" w:eastAsia="Times New Roman" w:hAnsi="Verdana" w:cs="Times New Roman"/>
                <w:sz w:val="19"/>
                <w:szCs w:val="19"/>
              </w:rPr>
            </w:pPr>
          </w:p>
        </w:tc>
      </w:tr>
    </w:tbl>
    <w:p w:rsidR="004542C9" w:rsidRPr="004A458A" w:rsidRDefault="004542C9" w:rsidP="003769F8">
      <w:pPr>
        <w:spacing w:after="0" w:line="240" w:lineRule="auto"/>
        <w:rPr>
          <w:rFonts w:ascii="Verdana" w:eastAsia="Verdana" w:hAnsi="Verdana" w:cs="Verdana"/>
          <w:b/>
          <w:bCs/>
          <w:position w:val="-2"/>
          <w:sz w:val="2"/>
          <w:u w:val="thick" w:color="000000"/>
        </w:rPr>
      </w:pPr>
    </w:p>
    <w:p w:rsidR="00D727FE"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242343" w:rsidRPr="00242343" w:rsidRDefault="00242343" w:rsidP="003769F8">
      <w:pPr>
        <w:spacing w:after="0" w:line="240" w:lineRule="auto"/>
        <w:rPr>
          <w:rFonts w:ascii="Verdana" w:eastAsia="Verdana" w:hAnsi="Verdana" w:cs="Verdana"/>
          <w:b/>
          <w:bCs/>
          <w:position w:val="-2"/>
          <w:sz w:val="2"/>
          <w:u w:val="thick" w:color="000000"/>
        </w:rPr>
      </w:pPr>
    </w:p>
    <w:p w:rsidR="00242343" w:rsidRPr="00242343" w:rsidRDefault="00242343" w:rsidP="00242343">
      <w:pPr>
        <w:pStyle w:val="NoSpacing"/>
        <w:rPr>
          <w:rFonts w:ascii="Verdana" w:hAnsi="Verdana"/>
          <w:b/>
          <w:sz w:val="20"/>
        </w:rPr>
      </w:pPr>
      <w:r w:rsidRPr="00242343">
        <w:rPr>
          <w:rFonts w:ascii="Verdana" w:hAnsi="Verdana"/>
          <w:b/>
          <w:sz w:val="20"/>
        </w:rPr>
        <w:t>Bookkeeper at former Berks County car service businesses ordered to pay $46K in restitution</w:t>
      </w:r>
    </w:p>
    <w:p w:rsidR="00242343" w:rsidRPr="00242343" w:rsidRDefault="00242343" w:rsidP="00242343">
      <w:pPr>
        <w:pStyle w:val="NoSpacing"/>
        <w:rPr>
          <w:rFonts w:ascii="Verdana" w:hAnsi="Verdana"/>
          <w:sz w:val="20"/>
        </w:rPr>
      </w:pPr>
      <w:r w:rsidRPr="00242343">
        <w:rPr>
          <w:rFonts w:ascii="Arial" w:hAnsi="Arial" w:cs="Arial"/>
          <w:sz w:val="20"/>
        </w:rPr>
        <w:t>​</w:t>
      </w:r>
      <w:r w:rsidRPr="00242343">
        <w:rPr>
          <w:rFonts w:ascii="Verdana" w:hAnsi="Verdana"/>
          <w:sz w:val="20"/>
        </w:rPr>
        <w:t>A Berks County woman</w:t>
      </w:r>
      <w:r w:rsidR="00F46849">
        <w:rPr>
          <w:rFonts w:ascii="Verdana" w:hAnsi="Verdana"/>
          <w:sz w:val="20"/>
        </w:rPr>
        <w:t>,</w:t>
      </w:r>
      <w:r w:rsidRPr="00242343">
        <w:rPr>
          <w:rFonts w:ascii="Verdana" w:hAnsi="Verdana"/>
          <w:sz w:val="20"/>
        </w:rPr>
        <w:t xml:space="preserve"> </w:t>
      </w:r>
      <w:r w:rsidR="00F46849" w:rsidRPr="00242343">
        <w:rPr>
          <w:rFonts w:ascii="Verdana" w:hAnsi="Verdana"/>
          <w:sz w:val="20"/>
        </w:rPr>
        <w:t>Lorraine J. Fritz</w:t>
      </w:r>
      <w:r w:rsidR="00F46849">
        <w:rPr>
          <w:rFonts w:ascii="Verdana" w:hAnsi="Verdana"/>
          <w:sz w:val="20"/>
        </w:rPr>
        <w:t>,</w:t>
      </w:r>
      <w:r w:rsidR="00F46849" w:rsidRPr="00242343">
        <w:rPr>
          <w:rFonts w:ascii="Verdana" w:hAnsi="Verdana"/>
          <w:sz w:val="20"/>
        </w:rPr>
        <w:t xml:space="preserve"> </w:t>
      </w:r>
      <w:r w:rsidRPr="00242343">
        <w:rPr>
          <w:rFonts w:ascii="Verdana" w:hAnsi="Verdana"/>
          <w:sz w:val="20"/>
        </w:rPr>
        <w:t>was ordered to pay $46,567.25 in restitution following her failure to remit Pennsylvania sales and state income taxes that were collected at the car service businesses where she worked as a bookkeeper, Revenue Secretary Dan Hassell announced. </w:t>
      </w:r>
      <w:r w:rsidR="00F46849">
        <w:rPr>
          <w:rFonts w:ascii="Verdana" w:hAnsi="Verdana"/>
          <w:sz w:val="20"/>
        </w:rPr>
        <w:t>She</w:t>
      </w:r>
      <w:r>
        <w:rPr>
          <w:rFonts w:ascii="Verdana" w:hAnsi="Verdana"/>
          <w:sz w:val="20"/>
        </w:rPr>
        <w:t xml:space="preserve"> </w:t>
      </w:r>
      <w:r w:rsidRPr="00242343">
        <w:rPr>
          <w:rFonts w:ascii="Verdana" w:hAnsi="Verdana"/>
          <w:sz w:val="20"/>
        </w:rPr>
        <w:t>also was sentenced to six years of probation when she appeared Tuesday before Berks County Judge Eleni D. Geishauser.</w:t>
      </w:r>
      <w:r>
        <w:rPr>
          <w:rFonts w:ascii="Verdana" w:hAnsi="Verdana"/>
          <w:sz w:val="20"/>
        </w:rPr>
        <w:t xml:space="preserve"> </w:t>
      </w:r>
      <w:r w:rsidRPr="00242343">
        <w:rPr>
          <w:rFonts w:ascii="Verdana" w:hAnsi="Verdana"/>
          <w:sz w:val="20"/>
        </w:rPr>
        <w:t>Fritz worked for Reel Time Automotive, LLC, a defunct Berks County business that operated two Meineke Car Care Centers. </w:t>
      </w:r>
      <w:r>
        <w:rPr>
          <w:rFonts w:ascii="Verdana" w:hAnsi="Verdana"/>
          <w:sz w:val="20"/>
        </w:rPr>
        <w:t xml:space="preserve"> </w:t>
      </w:r>
      <w:r w:rsidRPr="00242343">
        <w:rPr>
          <w:rFonts w:ascii="Verdana" w:hAnsi="Verdana"/>
          <w:sz w:val="20"/>
        </w:rPr>
        <w:t>According to investigators, Fritz’s crimes involved her failure to turn over $99,671.25 in collected sales tax and $11,896.00 in withheld state income taxes. She was the person responsible for preparing, filing and remitting the taxes for the business. </w:t>
      </w:r>
      <w:r>
        <w:rPr>
          <w:rFonts w:ascii="Verdana" w:hAnsi="Verdana"/>
          <w:sz w:val="20"/>
        </w:rPr>
        <w:t xml:space="preserve"> </w:t>
      </w:r>
      <w:r w:rsidRPr="00242343">
        <w:rPr>
          <w:rFonts w:ascii="Verdana" w:hAnsi="Verdana"/>
          <w:sz w:val="20"/>
        </w:rPr>
        <w:t xml:space="preserve">She pleaded guilty to six misdemeanor tax offenses that stemmed from her actions. The Department of Revenue’s Bureau of Criminal Tax Investigations investigated Fritiz after an audit uncovered trust fund taxes that were </w:t>
      </w:r>
      <w:r w:rsidR="00F46849">
        <w:rPr>
          <w:rFonts w:ascii="Verdana" w:hAnsi="Verdana"/>
          <w:sz w:val="20"/>
        </w:rPr>
        <w:t>not remitted.</w:t>
      </w:r>
    </w:p>
    <w:p w:rsidR="00CB0BEA" w:rsidRPr="00994B05" w:rsidRDefault="00994B05" w:rsidP="00A42BD2">
      <w:pPr>
        <w:pStyle w:val="NormalWeb"/>
        <w:shd w:val="clear" w:color="auto" w:fill="FFFFFF"/>
        <w:spacing w:after="140" w:afterAutospacing="0"/>
        <w:rPr>
          <w:rFonts w:ascii="Verdana" w:hAnsi="Verdana"/>
          <w:b/>
          <w:color w:val="000000"/>
          <w:sz w:val="22"/>
          <w:szCs w:val="20"/>
          <w:u w:val="thick"/>
        </w:rPr>
      </w:pPr>
      <w:r w:rsidRPr="00994B05">
        <w:rPr>
          <w:rFonts w:ascii="Verdana" w:hAnsi="Verdana"/>
          <w:b/>
          <w:color w:val="000000"/>
          <w:sz w:val="22"/>
          <w:szCs w:val="20"/>
          <w:u w:val="thick"/>
        </w:rPr>
        <w:t>IRRC UPDATE</w:t>
      </w:r>
    </w:p>
    <w:p w:rsidR="00BF45B1" w:rsidRPr="00BF45B1" w:rsidRDefault="00BF45B1" w:rsidP="00BF45B1">
      <w:pPr>
        <w:widowControl/>
        <w:shd w:val="clear" w:color="auto" w:fill="FFFFFF"/>
        <w:spacing w:before="100" w:beforeAutospacing="1" w:after="100" w:afterAutospacing="1" w:line="240" w:lineRule="auto"/>
        <w:outlineLvl w:val="2"/>
        <w:rPr>
          <w:rFonts w:ascii="Verdana" w:eastAsia="Times New Roman" w:hAnsi="Verdana" w:cs="Times New Roman"/>
          <w:b/>
          <w:bCs/>
          <w:color w:val="000000"/>
          <w:sz w:val="20"/>
          <w:szCs w:val="27"/>
        </w:rPr>
      </w:pPr>
      <w:r w:rsidRPr="00BF45B1">
        <w:rPr>
          <w:rFonts w:ascii="Verdana" w:eastAsia="Times New Roman" w:hAnsi="Verdana" w:cs="Times New Roman"/>
          <w:b/>
          <w:bCs/>
          <w:color w:val="000000"/>
          <w:sz w:val="20"/>
          <w:szCs w:val="27"/>
        </w:rPr>
        <w:t>INDEPENDENT REGULATORY REVIEW COMMISSION</w:t>
      </w:r>
      <w:r w:rsidRPr="00BF45B1">
        <w:rPr>
          <w:rFonts w:ascii="Verdana" w:eastAsia="Times New Roman" w:hAnsi="Verdana" w:cs="Times New Roman"/>
          <w:b/>
          <w:bCs/>
          <w:color w:val="000000"/>
          <w:sz w:val="20"/>
          <w:szCs w:val="27"/>
        </w:rPr>
        <w:br/>
        <w:t>Notices</w:t>
      </w:r>
    </w:p>
    <w:p w:rsidR="00994B05" w:rsidRPr="00F46849" w:rsidRDefault="00BF45B1" w:rsidP="00F46849">
      <w:pPr>
        <w:widowControl/>
        <w:shd w:val="clear" w:color="auto" w:fill="FFFFFF"/>
        <w:spacing w:before="100" w:beforeAutospacing="1" w:after="100" w:afterAutospacing="1" w:line="240" w:lineRule="auto"/>
        <w:rPr>
          <w:rFonts w:ascii="Verdana" w:eastAsia="Times New Roman" w:hAnsi="Verdana" w:cs="Times New Roman"/>
          <w:color w:val="000000"/>
          <w:sz w:val="20"/>
          <w:szCs w:val="27"/>
        </w:rPr>
      </w:pPr>
      <w:hyperlink r:id="rId16" w:history="1">
        <w:r w:rsidRPr="00BF45B1">
          <w:rPr>
            <w:rFonts w:ascii="Verdana" w:eastAsia="Times New Roman" w:hAnsi="Verdana" w:cs="Times New Roman"/>
            <w:color w:val="0000FF"/>
            <w:sz w:val="20"/>
            <w:szCs w:val="27"/>
          </w:rPr>
          <w:t>Notice of comments issued</w:t>
        </w:r>
      </w:hyperlink>
    </w:p>
    <w:sectPr w:rsidR="00994B05" w:rsidRPr="00F46849" w:rsidSect="00170164">
      <w:pgSz w:w="12240" w:h="15840"/>
      <w:pgMar w:top="1480" w:right="6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212" w:rsidRDefault="00625212" w:rsidP="002B51AE">
      <w:pPr>
        <w:spacing w:after="0" w:line="240" w:lineRule="auto"/>
      </w:pPr>
      <w:r>
        <w:separator/>
      </w:r>
    </w:p>
  </w:endnote>
  <w:endnote w:type="continuationSeparator" w:id="0">
    <w:p w:rsidR="00625212" w:rsidRDefault="00625212"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212" w:rsidRDefault="00625212" w:rsidP="002B51AE">
      <w:pPr>
        <w:spacing w:after="0" w:line="240" w:lineRule="auto"/>
      </w:pPr>
      <w:r>
        <w:separator/>
      </w:r>
    </w:p>
  </w:footnote>
  <w:footnote w:type="continuationSeparator" w:id="0">
    <w:p w:rsidR="00625212" w:rsidRDefault="00625212"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17"/>
    <w:rsid w:val="00002F3A"/>
    <w:rsid w:val="00006E5D"/>
    <w:rsid w:val="00007434"/>
    <w:rsid w:val="00011D65"/>
    <w:rsid w:val="000166C8"/>
    <w:rsid w:val="00022121"/>
    <w:rsid w:val="000235F5"/>
    <w:rsid w:val="00023E77"/>
    <w:rsid w:val="00025AAE"/>
    <w:rsid w:val="00030A2F"/>
    <w:rsid w:val="0003115D"/>
    <w:rsid w:val="0003361C"/>
    <w:rsid w:val="000351DC"/>
    <w:rsid w:val="00036F9C"/>
    <w:rsid w:val="000374D0"/>
    <w:rsid w:val="0004173E"/>
    <w:rsid w:val="000425E8"/>
    <w:rsid w:val="000430F0"/>
    <w:rsid w:val="00044779"/>
    <w:rsid w:val="0004702B"/>
    <w:rsid w:val="000472CA"/>
    <w:rsid w:val="00050EA2"/>
    <w:rsid w:val="000518A3"/>
    <w:rsid w:val="000526EF"/>
    <w:rsid w:val="00053323"/>
    <w:rsid w:val="00055920"/>
    <w:rsid w:val="00055BB2"/>
    <w:rsid w:val="00056956"/>
    <w:rsid w:val="000614E4"/>
    <w:rsid w:val="000629DA"/>
    <w:rsid w:val="00062D59"/>
    <w:rsid w:val="00066831"/>
    <w:rsid w:val="000673AC"/>
    <w:rsid w:val="000703C3"/>
    <w:rsid w:val="00071AC1"/>
    <w:rsid w:val="00076A8D"/>
    <w:rsid w:val="00076CA8"/>
    <w:rsid w:val="000840B6"/>
    <w:rsid w:val="00093743"/>
    <w:rsid w:val="000974B1"/>
    <w:rsid w:val="000976A0"/>
    <w:rsid w:val="00097B14"/>
    <w:rsid w:val="000A3EA1"/>
    <w:rsid w:val="000B0F3C"/>
    <w:rsid w:val="000B586C"/>
    <w:rsid w:val="000B70B9"/>
    <w:rsid w:val="000C24D9"/>
    <w:rsid w:val="000C299A"/>
    <w:rsid w:val="000C4DA4"/>
    <w:rsid w:val="000C6D28"/>
    <w:rsid w:val="000C74E0"/>
    <w:rsid w:val="000D15C3"/>
    <w:rsid w:val="000D2848"/>
    <w:rsid w:val="000D2B73"/>
    <w:rsid w:val="000D64A0"/>
    <w:rsid w:val="000D6B5C"/>
    <w:rsid w:val="000E3A08"/>
    <w:rsid w:val="000E6245"/>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40034"/>
    <w:rsid w:val="00140CAD"/>
    <w:rsid w:val="00143ACA"/>
    <w:rsid w:val="00143C7B"/>
    <w:rsid w:val="00146492"/>
    <w:rsid w:val="0014794F"/>
    <w:rsid w:val="00147F0E"/>
    <w:rsid w:val="00152168"/>
    <w:rsid w:val="00154145"/>
    <w:rsid w:val="0015552C"/>
    <w:rsid w:val="00155819"/>
    <w:rsid w:val="0015688C"/>
    <w:rsid w:val="00164E2E"/>
    <w:rsid w:val="0016664E"/>
    <w:rsid w:val="00166BA1"/>
    <w:rsid w:val="00170090"/>
    <w:rsid w:val="00170164"/>
    <w:rsid w:val="00170237"/>
    <w:rsid w:val="00171B2A"/>
    <w:rsid w:val="00171DCD"/>
    <w:rsid w:val="00174DD5"/>
    <w:rsid w:val="0017510D"/>
    <w:rsid w:val="001758AD"/>
    <w:rsid w:val="001800D4"/>
    <w:rsid w:val="001805BC"/>
    <w:rsid w:val="001814ED"/>
    <w:rsid w:val="00182F8F"/>
    <w:rsid w:val="00186D31"/>
    <w:rsid w:val="00190DA7"/>
    <w:rsid w:val="001918A0"/>
    <w:rsid w:val="00194B7E"/>
    <w:rsid w:val="001950DF"/>
    <w:rsid w:val="001966BD"/>
    <w:rsid w:val="001A1986"/>
    <w:rsid w:val="001A20BE"/>
    <w:rsid w:val="001A4177"/>
    <w:rsid w:val="001A7637"/>
    <w:rsid w:val="001B45A5"/>
    <w:rsid w:val="001C14AA"/>
    <w:rsid w:val="001C1C0E"/>
    <w:rsid w:val="001C282A"/>
    <w:rsid w:val="001C6A15"/>
    <w:rsid w:val="001C7E9A"/>
    <w:rsid w:val="001D1011"/>
    <w:rsid w:val="001D15EB"/>
    <w:rsid w:val="001D1924"/>
    <w:rsid w:val="001D5386"/>
    <w:rsid w:val="001D58F3"/>
    <w:rsid w:val="001D5D1E"/>
    <w:rsid w:val="001D6D0F"/>
    <w:rsid w:val="001E0D31"/>
    <w:rsid w:val="001E1850"/>
    <w:rsid w:val="001E1C1A"/>
    <w:rsid w:val="001E1F10"/>
    <w:rsid w:val="001E4347"/>
    <w:rsid w:val="001E47B0"/>
    <w:rsid w:val="001E562F"/>
    <w:rsid w:val="001E5DCB"/>
    <w:rsid w:val="001F09DC"/>
    <w:rsid w:val="001F4597"/>
    <w:rsid w:val="001F570D"/>
    <w:rsid w:val="001F6C20"/>
    <w:rsid w:val="001F7154"/>
    <w:rsid w:val="001F7522"/>
    <w:rsid w:val="00200A23"/>
    <w:rsid w:val="00200FC9"/>
    <w:rsid w:val="00203B66"/>
    <w:rsid w:val="002049E9"/>
    <w:rsid w:val="00205290"/>
    <w:rsid w:val="00212D00"/>
    <w:rsid w:val="00215A27"/>
    <w:rsid w:val="00216428"/>
    <w:rsid w:val="002168D2"/>
    <w:rsid w:val="00217084"/>
    <w:rsid w:val="00224F38"/>
    <w:rsid w:val="002275BA"/>
    <w:rsid w:val="00242343"/>
    <w:rsid w:val="00247EB2"/>
    <w:rsid w:val="002504CE"/>
    <w:rsid w:val="0025121F"/>
    <w:rsid w:val="00253C50"/>
    <w:rsid w:val="00253CE9"/>
    <w:rsid w:val="00261169"/>
    <w:rsid w:val="00264043"/>
    <w:rsid w:val="00264852"/>
    <w:rsid w:val="00264EB9"/>
    <w:rsid w:val="00265097"/>
    <w:rsid w:val="00265852"/>
    <w:rsid w:val="002677BE"/>
    <w:rsid w:val="00271D4A"/>
    <w:rsid w:val="00272F09"/>
    <w:rsid w:val="0028073E"/>
    <w:rsid w:val="002819F1"/>
    <w:rsid w:val="0028278A"/>
    <w:rsid w:val="0028782E"/>
    <w:rsid w:val="00287A39"/>
    <w:rsid w:val="00290548"/>
    <w:rsid w:val="00291342"/>
    <w:rsid w:val="00294A45"/>
    <w:rsid w:val="00297F3A"/>
    <w:rsid w:val="002A0C88"/>
    <w:rsid w:val="002A1032"/>
    <w:rsid w:val="002A5D87"/>
    <w:rsid w:val="002A5EB2"/>
    <w:rsid w:val="002A6F17"/>
    <w:rsid w:val="002B018E"/>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4CEC"/>
    <w:rsid w:val="002F59A1"/>
    <w:rsid w:val="002F63D0"/>
    <w:rsid w:val="002F6C94"/>
    <w:rsid w:val="0030385B"/>
    <w:rsid w:val="003055C5"/>
    <w:rsid w:val="00306395"/>
    <w:rsid w:val="00307491"/>
    <w:rsid w:val="003079EF"/>
    <w:rsid w:val="00310900"/>
    <w:rsid w:val="0031464A"/>
    <w:rsid w:val="00314A81"/>
    <w:rsid w:val="00314F87"/>
    <w:rsid w:val="00320E22"/>
    <w:rsid w:val="003263B9"/>
    <w:rsid w:val="0032750F"/>
    <w:rsid w:val="00327CF4"/>
    <w:rsid w:val="003326A2"/>
    <w:rsid w:val="003341B9"/>
    <w:rsid w:val="0033687D"/>
    <w:rsid w:val="00336CFA"/>
    <w:rsid w:val="003370AA"/>
    <w:rsid w:val="0034464F"/>
    <w:rsid w:val="003458F8"/>
    <w:rsid w:val="0034724D"/>
    <w:rsid w:val="00352BF0"/>
    <w:rsid w:val="003531CA"/>
    <w:rsid w:val="00354BC7"/>
    <w:rsid w:val="00354FB1"/>
    <w:rsid w:val="0035657F"/>
    <w:rsid w:val="00356C53"/>
    <w:rsid w:val="00367FA9"/>
    <w:rsid w:val="00370A3B"/>
    <w:rsid w:val="00370CDE"/>
    <w:rsid w:val="003720BD"/>
    <w:rsid w:val="0037275D"/>
    <w:rsid w:val="003758A6"/>
    <w:rsid w:val="003769F8"/>
    <w:rsid w:val="003778B7"/>
    <w:rsid w:val="00380CE4"/>
    <w:rsid w:val="003830C8"/>
    <w:rsid w:val="00384891"/>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B01A2"/>
    <w:rsid w:val="003B0CD8"/>
    <w:rsid w:val="003B0F23"/>
    <w:rsid w:val="003B1504"/>
    <w:rsid w:val="003B3A9C"/>
    <w:rsid w:val="003B58F1"/>
    <w:rsid w:val="003C0619"/>
    <w:rsid w:val="003C2D1A"/>
    <w:rsid w:val="003C46B4"/>
    <w:rsid w:val="003C4813"/>
    <w:rsid w:val="003C6F50"/>
    <w:rsid w:val="003D37AD"/>
    <w:rsid w:val="003D4511"/>
    <w:rsid w:val="003D52BA"/>
    <w:rsid w:val="003D6151"/>
    <w:rsid w:val="003D68F9"/>
    <w:rsid w:val="003E26DC"/>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5C37"/>
    <w:rsid w:val="0041622B"/>
    <w:rsid w:val="00423337"/>
    <w:rsid w:val="00424E28"/>
    <w:rsid w:val="00431319"/>
    <w:rsid w:val="00436492"/>
    <w:rsid w:val="00436BAD"/>
    <w:rsid w:val="00436EF7"/>
    <w:rsid w:val="00441106"/>
    <w:rsid w:val="0044255A"/>
    <w:rsid w:val="00442F6E"/>
    <w:rsid w:val="00443350"/>
    <w:rsid w:val="00450C49"/>
    <w:rsid w:val="0045141B"/>
    <w:rsid w:val="004523AB"/>
    <w:rsid w:val="00452FE4"/>
    <w:rsid w:val="0045356A"/>
    <w:rsid w:val="00453855"/>
    <w:rsid w:val="004542C9"/>
    <w:rsid w:val="00454F7B"/>
    <w:rsid w:val="00460389"/>
    <w:rsid w:val="00460DBE"/>
    <w:rsid w:val="004623D0"/>
    <w:rsid w:val="0046309B"/>
    <w:rsid w:val="00464AD3"/>
    <w:rsid w:val="00470F5A"/>
    <w:rsid w:val="00472CC6"/>
    <w:rsid w:val="00474E23"/>
    <w:rsid w:val="004769FA"/>
    <w:rsid w:val="004779CF"/>
    <w:rsid w:val="00490CD7"/>
    <w:rsid w:val="004A1FC9"/>
    <w:rsid w:val="004A21E4"/>
    <w:rsid w:val="004A458A"/>
    <w:rsid w:val="004A46C2"/>
    <w:rsid w:val="004A5BE7"/>
    <w:rsid w:val="004A61A3"/>
    <w:rsid w:val="004A63B8"/>
    <w:rsid w:val="004A6F3A"/>
    <w:rsid w:val="004A73A0"/>
    <w:rsid w:val="004B08D2"/>
    <w:rsid w:val="004B2EDE"/>
    <w:rsid w:val="004B3AD9"/>
    <w:rsid w:val="004B3CE4"/>
    <w:rsid w:val="004B4185"/>
    <w:rsid w:val="004B6926"/>
    <w:rsid w:val="004B7266"/>
    <w:rsid w:val="004C1714"/>
    <w:rsid w:val="004C1FE1"/>
    <w:rsid w:val="004C2E6B"/>
    <w:rsid w:val="004C3108"/>
    <w:rsid w:val="004D0567"/>
    <w:rsid w:val="004D0E78"/>
    <w:rsid w:val="004D1D69"/>
    <w:rsid w:val="004D3169"/>
    <w:rsid w:val="004D4AB4"/>
    <w:rsid w:val="004D7543"/>
    <w:rsid w:val="004D7915"/>
    <w:rsid w:val="004E4333"/>
    <w:rsid w:val="004E748D"/>
    <w:rsid w:val="004E7B26"/>
    <w:rsid w:val="004F00A1"/>
    <w:rsid w:val="004F07AE"/>
    <w:rsid w:val="004F0D79"/>
    <w:rsid w:val="004F2B0F"/>
    <w:rsid w:val="004F4B87"/>
    <w:rsid w:val="004F58B4"/>
    <w:rsid w:val="00501C87"/>
    <w:rsid w:val="00502F05"/>
    <w:rsid w:val="00504AFB"/>
    <w:rsid w:val="00507EF9"/>
    <w:rsid w:val="005140EA"/>
    <w:rsid w:val="00515330"/>
    <w:rsid w:val="00517422"/>
    <w:rsid w:val="00517EEF"/>
    <w:rsid w:val="005217C3"/>
    <w:rsid w:val="00521CE9"/>
    <w:rsid w:val="00521EA5"/>
    <w:rsid w:val="005234CC"/>
    <w:rsid w:val="0052356F"/>
    <w:rsid w:val="00523E75"/>
    <w:rsid w:val="00524F49"/>
    <w:rsid w:val="005274EB"/>
    <w:rsid w:val="00531B07"/>
    <w:rsid w:val="00535E84"/>
    <w:rsid w:val="00536367"/>
    <w:rsid w:val="00540BB7"/>
    <w:rsid w:val="00540CE3"/>
    <w:rsid w:val="00540E69"/>
    <w:rsid w:val="00542167"/>
    <w:rsid w:val="00542F04"/>
    <w:rsid w:val="00543DE1"/>
    <w:rsid w:val="005440FF"/>
    <w:rsid w:val="00544A1D"/>
    <w:rsid w:val="005505E9"/>
    <w:rsid w:val="0055372C"/>
    <w:rsid w:val="00553BC2"/>
    <w:rsid w:val="00556738"/>
    <w:rsid w:val="00565170"/>
    <w:rsid w:val="00567090"/>
    <w:rsid w:val="00570026"/>
    <w:rsid w:val="00570CBF"/>
    <w:rsid w:val="0057796E"/>
    <w:rsid w:val="00583F40"/>
    <w:rsid w:val="005908B6"/>
    <w:rsid w:val="0059510E"/>
    <w:rsid w:val="00595646"/>
    <w:rsid w:val="005A0096"/>
    <w:rsid w:val="005A00C6"/>
    <w:rsid w:val="005A1AC3"/>
    <w:rsid w:val="005A1F9B"/>
    <w:rsid w:val="005A3ACD"/>
    <w:rsid w:val="005B0EFA"/>
    <w:rsid w:val="005B3958"/>
    <w:rsid w:val="005B4360"/>
    <w:rsid w:val="005B4510"/>
    <w:rsid w:val="005B69FD"/>
    <w:rsid w:val="005C13BD"/>
    <w:rsid w:val="005C4E2C"/>
    <w:rsid w:val="005C5A1F"/>
    <w:rsid w:val="005D00C2"/>
    <w:rsid w:val="005D4E1F"/>
    <w:rsid w:val="005D6798"/>
    <w:rsid w:val="005E1179"/>
    <w:rsid w:val="005E30FA"/>
    <w:rsid w:val="005E4CC6"/>
    <w:rsid w:val="005E523D"/>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69EA"/>
    <w:rsid w:val="00640CA2"/>
    <w:rsid w:val="0064118C"/>
    <w:rsid w:val="0064182C"/>
    <w:rsid w:val="00641CA5"/>
    <w:rsid w:val="006431E7"/>
    <w:rsid w:val="0064369B"/>
    <w:rsid w:val="006441F3"/>
    <w:rsid w:val="00645D1A"/>
    <w:rsid w:val="00647935"/>
    <w:rsid w:val="006479CB"/>
    <w:rsid w:val="00652BB9"/>
    <w:rsid w:val="00653B95"/>
    <w:rsid w:val="00653F60"/>
    <w:rsid w:val="00656B78"/>
    <w:rsid w:val="00662A95"/>
    <w:rsid w:val="006634B5"/>
    <w:rsid w:val="00663C01"/>
    <w:rsid w:val="00665A3B"/>
    <w:rsid w:val="0067036D"/>
    <w:rsid w:val="0067335A"/>
    <w:rsid w:val="0067573F"/>
    <w:rsid w:val="006773A8"/>
    <w:rsid w:val="0068219F"/>
    <w:rsid w:val="0068520B"/>
    <w:rsid w:val="00685B03"/>
    <w:rsid w:val="0068621A"/>
    <w:rsid w:val="00686F92"/>
    <w:rsid w:val="00691EB4"/>
    <w:rsid w:val="006956BC"/>
    <w:rsid w:val="006A0A8A"/>
    <w:rsid w:val="006A0F64"/>
    <w:rsid w:val="006A6344"/>
    <w:rsid w:val="006B090B"/>
    <w:rsid w:val="006B0E55"/>
    <w:rsid w:val="006B1DCA"/>
    <w:rsid w:val="006B3CC4"/>
    <w:rsid w:val="006B3DA0"/>
    <w:rsid w:val="006B3FE1"/>
    <w:rsid w:val="006B6A6A"/>
    <w:rsid w:val="006B6E47"/>
    <w:rsid w:val="006B7333"/>
    <w:rsid w:val="006C0781"/>
    <w:rsid w:val="006C179B"/>
    <w:rsid w:val="006D0E19"/>
    <w:rsid w:val="006D351F"/>
    <w:rsid w:val="006D77C0"/>
    <w:rsid w:val="006E09BB"/>
    <w:rsid w:val="006E1F81"/>
    <w:rsid w:val="006E29C7"/>
    <w:rsid w:val="006E54EF"/>
    <w:rsid w:val="006E55EC"/>
    <w:rsid w:val="006E5ADC"/>
    <w:rsid w:val="006E6422"/>
    <w:rsid w:val="006F1322"/>
    <w:rsid w:val="006F39F9"/>
    <w:rsid w:val="006F65F1"/>
    <w:rsid w:val="00700D67"/>
    <w:rsid w:val="007036D7"/>
    <w:rsid w:val="00707FAE"/>
    <w:rsid w:val="00711121"/>
    <w:rsid w:val="00711AE7"/>
    <w:rsid w:val="00711B52"/>
    <w:rsid w:val="00713DE8"/>
    <w:rsid w:val="00714E97"/>
    <w:rsid w:val="00716139"/>
    <w:rsid w:val="00716337"/>
    <w:rsid w:val="00724EF4"/>
    <w:rsid w:val="007279A6"/>
    <w:rsid w:val="00733ED1"/>
    <w:rsid w:val="00737571"/>
    <w:rsid w:val="007437CB"/>
    <w:rsid w:val="00743877"/>
    <w:rsid w:val="007460F3"/>
    <w:rsid w:val="007507A2"/>
    <w:rsid w:val="00750D57"/>
    <w:rsid w:val="0075375B"/>
    <w:rsid w:val="00762680"/>
    <w:rsid w:val="00763514"/>
    <w:rsid w:val="00763E57"/>
    <w:rsid w:val="00765AC2"/>
    <w:rsid w:val="00767437"/>
    <w:rsid w:val="00771FE5"/>
    <w:rsid w:val="00773045"/>
    <w:rsid w:val="00776851"/>
    <w:rsid w:val="0077744A"/>
    <w:rsid w:val="00777D6F"/>
    <w:rsid w:val="00781D8F"/>
    <w:rsid w:val="007821A1"/>
    <w:rsid w:val="0078282B"/>
    <w:rsid w:val="0078295A"/>
    <w:rsid w:val="00784AC2"/>
    <w:rsid w:val="007935CA"/>
    <w:rsid w:val="007A3A69"/>
    <w:rsid w:val="007A3E8A"/>
    <w:rsid w:val="007A5449"/>
    <w:rsid w:val="007A5BB6"/>
    <w:rsid w:val="007A7752"/>
    <w:rsid w:val="007B1A09"/>
    <w:rsid w:val="007B1F56"/>
    <w:rsid w:val="007B2AD9"/>
    <w:rsid w:val="007B5A5C"/>
    <w:rsid w:val="007B7E4C"/>
    <w:rsid w:val="007C0E6C"/>
    <w:rsid w:val="007C28BE"/>
    <w:rsid w:val="007C504C"/>
    <w:rsid w:val="007C556C"/>
    <w:rsid w:val="007C6204"/>
    <w:rsid w:val="007C6CE6"/>
    <w:rsid w:val="007C6F3E"/>
    <w:rsid w:val="007D4B0C"/>
    <w:rsid w:val="007D7490"/>
    <w:rsid w:val="007E0D6A"/>
    <w:rsid w:val="007E3842"/>
    <w:rsid w:val="007E7B1D"/>
    <w:rsid w:val="007F0C9C"/>
    <w:rsid w:val="007F1C32"/>
    <w:rsid w:val="007F2C07"/>
    <w:rsid w:val="007F461B"/>
    <w:rsid w:val="00800329"/>
    <w:rsid w:val="0080141D"/>
    <w:rsid w:val="00802686"/>
    <w:rsid w:val="008041E8"/>
    <w:rsid w:val="00805121"/>
    <w:rsid w:val="008102D4"/>
    <w:rsid w:val="00812111"/>
    <w:rsid w:val="00813EF0"/>
    <w:rsid w:val="008162EB"/>
    <w:rsid w:val="00817DA3"/>
    <w:rsid w:val="00822056"/>
    <w:rsid w:val="00822C02"/>
    <w:rsid w:val="00823FC5"/>
    <w:rsid w:val="00832FED"/>
    <w:rsid w:val="00833126"/>
    <w:rsid w:val="00835200"/>
    <w:rsid w:val="00840331"/>
    <w:rsid w:val="00841623"/>
    <w:rsid w:val="00841E0F"/>
    <w:rsid w:val="00841FA4"/>
    <w:rsid w:val="00846A39"/>
    <w:rsid w:val="00847559"/>
    <w:rsid w:val="00847E3F"/>
    <w:rsid w:val="00850572"/>
    <w:rsid w:val="008507B1"/>
    <w:rsid w:val="00855A32"/>
    <w:rsid w:val="0086034E"/>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93782"/>
    <w:rsid w:val="008A0D1F"/>
    <w:rsid w:val="008A121B"/>
    <w:rsid w:val="008A1E89"/>
    <w:rsid w:val="008A34EE"/>
    <w:rsid w:val="008A4209"/>
    <w:rsid w:val="008A7231"/>
    <w:rsid w:val="008A7EA1"/>
    <w:rsid w:val="008B04E4"/>
    <w:rsid w:val="008B34D0"/>
    <w:rsid w:val="008B3A44"/>
    <w:rsid w:val="008B4BEE"/>
    <w:rsid w:val="008C2961"/>
    <w:rsid w:val="008C5316"/>
    <w:rsid w:val="008C533E"/>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202BD"/>
    <w:rsid w:val="00921A98"/>
    <w:rsid w:val="00922116"/>
    <w:rsid w:val="00923C3B"/>
    <w:rsid w:val="009247B3"/>
    <w:rsid w:val="009267B0"/>
    <w:rsid w:val="009278C1"/>
    <w:rsid w:val="00936371"/>
    <w:rsid w:val="00943811"/>
    <w:rsid w:val="00944DEC"/>
    <w:rsid w:val="00945AB9"/>
    <w:rsid w:val="00946814"/>
    <w:rsid w:val="00951540"/>
    <w:rsid w:val="009546A8"/>
    <w:rsid w:val="009550E9"/>
    <w:rsid w:val="00963747"/>
    <w:rsid w:val="00963EC3"/>
    <w:rsid w:val="0096653C"/>
    <w:rsid w:val="00967707"/>
    <w:rsid w:val="00967BFC"/>
    <w:rsid w:val="00970B9B"/>
    <w:rsid w:val="009711D1"/>
    <w:rsid w:val="0097620F"/>
    <w:rsid w:val="00983330"/>
    <w:rsid w:val="00983FF2"/>
    <w:rsid w:val="00985968"/>
    <w:rsid w:val="009922E3"/>
    <w:rsid w:val="00994B05"/>
    <w:rsid w:val="00994F72"/>
    <w:rsid w:val="009A08BC"/>
    <w:rsid w:val="009A1E77"/>
    <w:rsid w:val="009A2259"/>
    <w:rsid w:val="009A4595"/>
    <w:rsid w:val="009B1E83"/>
    <w:rsid w:val="009B499E"/>
    <w:rsid w:val="009B4EB4"/>
    <w:rsid w:val="009B7612"/>
    <w:rsid w:val="009B789B"/>
    <w:rsid w:val="009C00D7"/>
    <w:rsid w:val="009C0B75"/>
    <w:rsid w:val="009C0E39"/>
    <w:rsid w:val="009C2FB0"/>
    <w:rsid w:val="009C3508"/>
    <w:rsid w:val="009C4D1E"/>
    <w:rsid w:val="009C5128"/>
    <w:rsid w:val="009C65A8"/>
    <w:rsid w:val="009C6FE0"/>
    <w:rsid w:val="009D5841"/>
    <w:rsid w:val="009D5A93"/>
    <w:rsid w:val="009E0BA9"/>
    <w:rsid w:val="009E1E61"/>
    <w:rsid w:val="009E5B12"/>
    <w:rsid w:val="009E735F"/>
    <w:rsid w:val="009F1618"/>
    <w:rsid w:val="009F4555"/>
    <w:rsid w:val="009F45FE"/>
    <w:rsid w:val="00A00BAA"/>
    <w:rsid w:val="00A00EB8"/>
    <w:rsid w:val="00A03975"/>
    <w:rsid w:val="00A039D3"/>
    <w:rsid w:val="00A03C8C"/>
    <w:rsid w:val="00A06833"/>
    <w:rsid w:val="00A06890"/>
    <w:rsid w:val="00A10CC2"/>
    <w:rsid w:val="00A1292A"/>
    <w:rsid w:val="00A12F53"/>
    <w:rsid w:val="00A24E4A"/>
    <w:rsid w:val="00A24FFA"/>
    <w:rsid w:val="00A256A1"/>
    <w:rsid w:val="00A27E6A"/>
    <w:rsid w:val="00A30093"/>
    <w:rsid w:val="00A30C82"/>
    <w:rsid w:val="00A3272D"/>
    <w:rsid w:val="00A351FA"/>
    <w:rsid w:val="00A35A7D"/>
    <w:rsid w:val="00A372AF"/>
    <w:rsid w:val="00A406DA"/>
    <w:rsid w:val="00A42BD2"/>
    <w:rsid w:val="00A42FDA"/>
    <w:rsid w:val="00A43531"/>
    <w:rsid w:val="00A45E6F"/>
    <w:rsid w:val="00A47084"/>
    <w:rsid w:val="00A51AE7"/>
    <w:rsid w:val="00A526D3"/>
    <w:rsid w:val="00A53BBB"/>
    <w:rsid w:val="00A54966"/>
    <w:rsid w:val="00A6076E"/>
    <w:rsid w:val="00A61A02"/>
    <w:rsid w:val="00A61A2D"/>
    <w:rsid w:val="00A63E11"/>
    <w:rsid w:val="00A662D9"/>
    <w:rsid w:val="00A72D99"/>
    <w:rsid w:val="00A73CFD"/>
    <w:rsid w:val="00A8258F"/>
    <w:rsid w:val="00A935C8"/>
    <w:rsid w:val="00A9736F"/>
    <w:rsid w:val="00AA1ECB"/>
    <w:rsid w:val="00AA2C7C"/>
    <w:rsid w:val="00AA5A67"/>
    <w:rsid w:val="00AA67A3"/>
    <w:rsid w:val="00AB0A61"/>
    <w:rsid w:val="00AB11F1"/>
    <w:rsid w:val="00AB3BA6"/>
    <w:rsid w:val="00AB798F"/>
    <w:rsid w:val="00AC17C7"/>
    <w:rsid w:val="00AC3114"/>
    <w:rsid w:val="00AC3A86"/>
    <w:rsid w:val="00AC459C"/>
    <w:rsid w:val="00AD1A37"/>
    <w:rsid w:val="00AD3EE5"/>
    <w:rsid w:val="00AD54A1"/>
    <w:rsid w:val="00AD6016"/>
    <w:rsid w:val="00AD7D30"/>
    <w:rsid w:val="00AE03D5"/>
    <w:rsid w:val="00AE1D7F"/>
    <w:rsid w:val="00AE1EFE"/>
    <w:rsid w:val="00AE4E07"/>
    <w:rsid w:val="00AE7972"/>
    <w:rsid w:val="00AF0759"/>
    <w:rsid w:val="00AF2B15"/>
    <w:rsid w:val="00AF5292"/>
    <w:rsid w:val="00AF5422"/>
    <w:rsid w:val="00B008ED"/>
    <w:rsid w:val="00B012BC"/>
    <w:rsid w:val="00B01A42"/>
    <w:rsid w:val="00B05AB8"/>
    <w:rsid w:val="00B069A2"/>
    <w:rsid w:val="00B07C1A"/>
    <w:rsid w:val="00B10F8D"/>
    <w:rsid w:val="00B11B4D"/>
    <w:rsid w:val="00B125E8"/>
    <w:rsid w:val="00B1627E"/>
    <w:rsid w:val="00B17156"/>
    <w:rsid w:val="00B17B0D"/>
    <w:rsid w:val="00B17C0E"/>
    <w:rsid w:val="00B20BD1"/>
    <w:rsid w:val="00B21438"/>
    <w:rsid w:val="00B24523"/>
    <w:rsid w:val="00B32A2F"/>
    <w:rsid w:val="00B34D40"/>
    <w:rsid w:val="00B367CE"/>
    <w:rsid w:val="00B377BB"/>
    <w:rsid w:val="00B409D4"/>
    <w:rsid w:val="00B4153F"/>
    <w:rsid w:val="00B416CE"/>
    <w:rsid w:val="00B43DA5"/>
    <w:rsid w:val="00B44118"/>
    <w:rsid w:val="00B4665E"/>
    <w:rsid w:val="00B46F68"/>
    <w:rsid w:val="00B5082F"/>
    <w:rsid w:val="00B523FB"/>
    <w:rsid w:val="00B569A7"/>
    <w:rsid w:val="00B56DC8"/>
    <w:rsid w:val="00B605C7"/>
    <w:rsid w:val="00B619CB"/>
    <w:rsid w:val="00B61E2C"/>
    <w:rsid w:val="00B66085"/>
    <w:rsid w:val="00B75B96"/>
    <w:rsid w:val="00B7758B"/>
    <w:rsid w:val="00B80982"/>
    <w:rsid w:val="00B80F2C"/>
    <w:rsid w:val="00B8326A"/>
    <w:rsid w:val="00B83A14"/>
    <w:rsid w:val="00B83B8B"/>
    <w:rsid w:val="00B84273"/>
    <w:rsid w:val="00B84CB5"/>
    <w:rsid w:val="00B84EEA"/>
    <w:rsid w:val="00B86D15"/>
    <w:rsid w:val="00B86F19"/>
    <w:rsid w:val="00B916B0"/>
    <w:rsid w:val="00B92D72"/>
    <w:rsid w:val="00B931D0"/>
    <w:rsid w:val="00B93874"/>
    <w:rsid w:val="00B94767"/>
    <w:rsid w:val="00B94988"/>
    <w:rsid w:val="00B96711"/>
    <w:rsid w:val="00BA01E5"/>
    <w:rsid w:val="00BA2E7D"/>
    <w:rsid w:val="00BA3843"/>
    <w:rsid w:val="00BA6EDF"/>
    <w:rsid w:val="00BA7D7F"/>
    <w:rsid w:val="00BB062C"/>
    <w:rsid w:val="00BB159C"/>
    <w:rsid w:val="00BB49ED"/>
    <w:rsid w:val="00BB67AD"/>
    <w:rsid w:val="00BB7266"/>
    <w:rsid w:val="00BC55D6"/>
    <w:rsid w:val="00BC712A"/>
    <w:rsid w:val="00BC774B"/>
    <w:rsid w:val="00BD39BD"/>
    <w:rsid w:val="00BD47A5"/>
    <w:rsid w:val="00BD5702"/>
    <w:rsid w:val="00BE0E0C"/>
    <w:rsid w:val="00BE13C9"/>
    <w:rsid w:val="00BE27E7"/>
    <w:rsid w:val="00BE3A84"/>
    <w:rsid w:val="00BE61E4"/>
    <w:rsid w:val="00BE6BEC"/>
    <w:rsid w:val="00BE787C"/>
    <w:rsid w:val="00BE7EEB"/>
    <w:rsid w:val="00BF1C56"/>
    <w:rsid w:val="00BF45B1"/>
    <w:rsid w:val="00C00334"/>
    <w:rsid w:val="00C02BB6"/>
    <w:rsid w:val="00C07DBD"/>
    <w:rsid w:val="00C118F3"/>
    <w:rsid w:val="00C11948"/>
    <w:rsid w:val="00C11D73"/>
    <w:rsid w:val="00C144B1"/>
    <w:rsid w:val="00C16C72"/>
    <w:rsid w:val="00C17457"/>
    <w:rsid w:val="00C20909"/>
    <w:rsid w:val="00C225E7"/>
    <w:rsid w:val="00C258E4"/>
    <w:rsid w:val="00C26EB6"/>
    <w:rsid w:val="00C27B44"/>
    <w:rsid w:val="00C30863"/>
    <w:rsid w:val="00C30BE4"/>
    <w:rsid w:val="00C368BE"/>
    <w:rsid w:val="00C40BC7"/>
    <w:rsid w:val="00C412B5"/>
    <w:rsid w:val="00C418AB"/>
    <w:rsid w:val="00C42EF7"/>
    <w:rsid w:val="00C45D89"/>
    <w:rsid w:val="00C52D63"/>
    <w:rsid w:val="00C56967"/>
    <w:rsid w:val="00C61781"/>
    <w:rsid w:val="00C62E1A"/>
    <w:rsid w:val="00C64598"/>
    <w:rsid w:val="00C65331"/>
    <w:rsid w:val="00C80813"/>
    <w:rsid w:val="00C81A3E"/>
    <w:rsid w:val="00C81ACD"/>
    <w:rsid w:val="00C82D24"/>
    <w:rsid w:val="00C82D4E"/>
    <w:rsid w:val="00C8563C"/>
    <w:rsid w:val="00C86889"/>
    <w:rsid w:val="00C87602"/>
    <w:rsid w:val="00C92482"/>
    <w:rsid w:val="00C97E2F"/>
    <w:rsid w:val="00C97E55"/>
    <w:rsid w:val="00CA2D53"/>
    <w:rsid w:val="00CA5E9D"/>
    <w:rsid w:val="00CA5EE7"/>
    <w:rsid w:val="00CB0BEA"/>
    <w:rsid w:val="00CB1B7E"/>
    <w:rsid w:val="00CB7FA3"/>
    <w:rsid w:val="00CC0746"/>
    <w:rsid w:val="00CC39DF"/>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69EC"/>
    <w:rsid w:val="00CF6C03"/>
    <w:rsid w:val="00CF723A"/>
    <w:rsid w:val="00CF7BDD"/>
    <w:rsid w:val="00D000F7"/>
    <w:rsid w:val="00D00322"/>
    <w:rsid w:val="00D005EB"/>
    <w:rsid w:val="00D00693"/>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46A8F"/>
    <w:rsid w:val="00D51950"/>
    <w:rsid w:val="00D53B9F"/>
    <w:rsid w:val="00D54E03"/>
    <w:rsid w:val="00D61E8F"/>
    <w:rsid w:val="00D62A13"/>
    <w:rsid w:val="00D654C2"/>
    <w:rsid w:val="00D66ECE"/>
    <w:rsid w:val="00D7268D"/>
    <w:rsid w:val="00D727FE"/>
    <w:rsid w:val="00D8383A"/>
    <w:rsid w:val="00D8706D"/>
    <w:rsid w:val="00D876F7"/>
    <w:rsid w:val="00D956BB"/>
    <w:rsid w:val="00D96204"/>
    <w:rsid w:val="00D96D9D"/>
    <w:rsid w:val="00D96EDA"/>
    <w:rsid w:val="00D96FF1"/>
    <w:rsid w:val="00D9752D"/>
    <w:rsid w:val="00DA105A"/>
    <w:rsid w:val="00DB0C81"/>
    <w:rsid w:val="00DB26B8"/>
    <w:rsid w:val="00DB31C5"/>
    <w:rsid w:val="00DB3760"/>
    <w:rsid w:val="00DB49A1"/>
    <w:rsid w:val="00DB4ACD"/>
    <w:rsid w:val="00DB4F85"/>
    <w:rsid w:val="00DC1F98"/>
    <w:rsid w:val="00DC6F8E"/>
    <w:rsid w:val="00DC7092"/>
    <w:rsid w:val="00DD16BF"/>
    <w:rsid w:val="00DD3183"/>
    <w:rsid w:val="00DD4ACD"/>
    <w:rsid w:val="00DD6B84"/>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2A39"/>
    <w:rsid w:val="00E149F3"/>
    <w:rsid w:val="00E164B6"/>
    <w:rsid w:val="00E215FD"/>
    <w:rsid w:val="00E2163E"/>
    <w:rsid w:val="00E22548"/>
    <w:rsid w:val="00E22FFA"/>
    <w:rsid w:val="00E23988"/>
    <w:rsid w:val="00E24F1D"/>
    <w:rsid w:val="00E251A4"/>
    <w:rsid w:val="00E25B97"/>
    <w:rsid w:val="00E27872"/>
    <w:rsid w:val="00E31422"/>
    <w:rsid w:val="00E34193"/>
    <w:rsid w:val="00E4221B"/>
    <w:rsid w:val="00E43689"/>
    <w:rsid w:val="00E45A4F"/>
    <w:rsid w:val="00E46662"/>
    <w:rsid w:val="00E46C51"/>
    <w:rsid w:val="00E47B96"/>
    <w:rsid w:val="00E5354A"/>
    <w:rsid w:val="00E55596"/>
    <w:rsid w:val="00E567D2"/>
    <w:rsid w:val="00E56ADC"/>
    <w:rsid w:val="00E57409"/>
    <w:rsid w:val="00E62C38"/>
    <w:rsid w:val="00E663C6"/>
    <w:rsid w:val="00E67BAF"/>
    <w:rsid w:val="00E74A40"/>
    <w:rsid w:val="00E77CAF"/>
    <w:rsid w:val="00E8247F"/>
    <w:rsid w:val="00E845B3"/>
    <w:rsid w:val="00E87FFC"/>
    <w:rsid w:val="00E9028F"/>
    <w:rsid w:val="00E90808"/>
    <w:rsid w:val="00E92351"/>
    <w:rsid w:val="00E92493"/>
    <w:rsid w:val="00E942E2"/>
    <w:rsid w:val="00E95F2F"/>
    <w:rsid w:val="00E961DF"/>
    <w:rsid w:val="00E97534"/>
    <w:rsid w:val="00E9762A"/>
    <w:rsid w:val="00EA27E9"/>
    <w:rsid w:val="00EA3AA8"/>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08CD"/>
    <w:rsid w:val="00EE61E4"/>
    <w:rsid w:val="00EE6C93"/>
    <w:rsid w:val="00EF4DD9"/>
    <w:rsid w:val="00EF57D2"/>
    <w:rsid w:val="00F00FBA"/>
    <w:rsid w:val="00F014FE"/>
    <w:rsid w:val="00F05D9D"/>
    <w:rsid w:val="00F06640"/>
    <w:rsid w:val="00F070FC"/>
    <w:rsid w:val="00F07A29"/>
    <w:rsid w:val="00F13CA6"/>
    <w:rsid w:val="00F14B31"/>
    <w:rsid w:val="00F158C4"/>
    <w:rsid w:val="00F176B1"/>
    <w:rsid w:val="00F2227D"/>
    <w:rsid w:val="00F225C8"/>
    <w:rsid w:val="00F2516F"/>
    <w:rsid w:val="00F266F1"/>
    <w:rsid w:val="00F26B8A"/>
    <w:rsid w:val="00F272A6"/>
    <w:rsid w:val="00F3091F"/>
    <w:rsid w:val="00F30BD3"/>
    <w:rsid w:val="00F3164A"/>
    <w:rsid w:val="00F31F96"/>
    <w:rsid w:val="00F34905"/>
    <w:rsid w:val="00F35C6B"/>
    <w:rsid w:val="00F35E18"/>
    <w:rsid w:val="00F375D9"/>
    <w:rsid w:val="00F407FB"/>
    <w:rsid w:val="00F42D53"/>
    <w:rsid w:val="00F43431"/>
    <w:rsid w:val="00F46849"/>
    <w:rsid w:val="00F503D8"/>
    <w:rsid w:val="00F5189F"/>
    <w:rsid w:val="00F5286F"/>
    <w:rsid w:val="00F57210"/>
    <w:rsid w:val="00F62B47"/>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7DE1"/>
    <w:rsid w:val="00FA06A2"/>
    <w:rsid w:val="00FA167E"/>
    <w:rsid w:val="00FA1DEF"/>
    <w:rsid w:val="00FA29A5"/>
    <w:rsid w:val="00FA3D58"/>
    <w:rsid w:val="00FA41B3"/>
    <w:rsid w:val="00FB0339"/>
    <w:rsid w:val="00FB3199"/>
    <w:rsid w:val="00FB5F30"/>
    <w:rsid w:val="00FC0351"/>
    <w:rsid w:val="00FC1220"/>
    <w:rsid w:val="00FC3883"/>
    <w:rsid w:val="00FC4072"/>
    <w:rsid w:val="00FD0055"/>
    <w:rsid w:val="00FD0798"/>
    <w:rsid w:val="00FD19B6"/>
    <w:rsid w:val="00FD2A9D"/>
    <w:rsid w:val="00FD37F2"/>
    <w:rsid w:val="00FD3DA7"/>
    <w:rsid w:val="00FE0B28"/>
    <w:rsid w:val="00FE2DEB"/>
    <w:rsid w:val="00FE39E3"/>
    <w:rsid w:val="00FE41E9"/>
    <w:rsid w:val="00FE4D58"/>
    <w:rsid w:val="00FE58A8"/>
    <w:rsid w:val="00FE595D"/>
    <w:rsid w:val="00FE678B"/>
    <w:rsid w:val="00FE705E"/>
    <w:rsid w:val="00FF13A6"/>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F0F771"/>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9689109">
      <w:bodyDiv w:val="1"/>
      <w:marLeft w:val="0"/>
      <w:marRight w:val="0"/>
      <w:marTop w:val="0"/>
      <w:marBottom w:val="0"/>
      <w:divBdr>
        <w:top w:val="none" w:sz="0" w:space="0" w:color="auto"/>
        <w:left w:val="none" w:sz="0" w:space="0" w:color="auto"/>
        <w:bottom w:val="none" w:sz="0" w:space="0" w:color="auto"/>
        <w:right w:val="none" w:sz="0" w:space="0" w:color="auto"/>
      </w:divBdr>
      <w:divsChild>
        <w:div w:id="1782794532">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79360275">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79837357">
      <w:bodyDiv w:val="1"/>
      <w:marLeft w:val="0"/>
      <w:marRight w:val="0"/>
      <w:marTop w:val="0"/>
      <w:marBottom w:val="0"/>
      <w:divBdr>
        <w:top w:val="none" w:sz="0" w:space="0" w:color="auto"/>
        <w:left w:val="none" w:sz="0" w:space="0" w:color="auto"/>
        <w:bottom w:val="none" w:sz="0" w:space="0" w:color="auto"/>
        <w:right w:val="none" w:sz="0" w:space="0" w:color="auto"/>
      </w:divBdr>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39338031">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42626245">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7771524">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bpls.com/htbin/web_member?17R1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bpls.com/htbin/web_index?BILL_NUMBER=HB00994&amp;SESSION=17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bulletin.com/secure/data/vol48/48-2/7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bpls.com/htbin/web_com.com?Comnam=018&amp;Session=17R" TargetMode="External"/><Relationship Id="rId5" Type="http://schemas.openxmlformats.org/officeDocument/2006/relationships/webSettings" Target="webSettings.xml"/><Relationship Id="rId15" Type="http://schemas.openxmlformats.org/officeDocument/2006/relationships/hyperlink" Target="http://www.ctbpls.com/htbin/web_member?17R139" TargetMode="External"/><Relationship Id="rId10" Type="http://schemas.openxmlformats.org/officeDocument/2006/relationships/hyperlink" Target="http://www.legis.state.pa.us/cfdocs/billInfo/billInfo.cfm?sYear=2017&amp;sInd=0&amp;body=H&amp;type=B&amp;bn=0250" TargetMode="External"/><Relationship Id="rId4" Type="http://schemas.openxmlformats.org/officeDocument/2006/relationships/settings" Target="settings.xml"/><Relationship Id="rId9" Type="http://schemas.openxmlformats.org/officeDocument/2006/relationships/hyperlink" Target="https://drive.google.com/open?id=1b_syle7vcLjZkSgek70bMONROoogTGs8" TargetMode="External"/><Relationship Id="rId14" Type="http://schemas.openxmlformats.org/officeDocument/2006/relationships/hyperlink" Target="http://www.ctbpls.com/htbin/web_index?BILL_NUMBER=HB01098&amp;SESSION=1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EBC53-6684-43EA-A103-75746432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11</cp:revision>
  <cp:lastPrinted>2017-11-16T18:44:00Z</cp:lastPrinted>
  <dcterms:created xsi:type="dcterms:W3CDTF">2018-01-18T14:33:00Z</dcterms:created>
  <dcterms:modified xsi:type="dcterms:W3CDTF">2018-01-18T20:31:00Z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