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08533F4"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6"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8401F7">
      <w:pPr>
        <w:spacing w:before="21" w:after="0" w:line="240" w:lineRule="auto"/>
        <w:ind w:left="4107" w:right="4107"/>
        <w:jc w:val="center"/>
        <w:rPr>
          <w:rFonts w:ascii="Verdana" w:eastAsia="Verdana" w:hAnsi="Verdana" w:cs="Verdana"/>
        </w:rPr>
      </w:pPr>
      <w:r>
        <w:rPr>
          <w:rFonts w:ascii="Verdana" w:eastAsia="Verdana" w:hAnsi="Verdana" w:cs="Verdana"/>
          <w:spacing w:val="-2"/>
        </w:rPr>
        <w:t>Wee</w:t>
      </w:r>
      <w:r>
        <w:rPr>
          <w:rFonts w:ascii="Verdana" w:eastAsia="Verdana" w:hAnsi="Verdana" w:cs="Verdana"/>
        </w:rPr>
        <w:t>k</w:t>
      </w:r>
      <w:r>
        <w:rPr>
          <w:rFonts w:ascii="Verdana" w:eastAsia="Verdana" w:hAnsi="Verdana" w:cs="Verdana"/>
          <w:spacing w:val="-2"/>
        </w:rPr>
        <w:t xml:space="preserve"> </w:t>
      </w:r>
      <w:r>
        <w:rPr>
          <w:rFonts w:ascii="Verdana" w:eastAsia="Verdana" w:hAnsi="Verdana" w:cs="Verdana"/>
        </w:rPr>
        <w:t xml:space="preserve">of </w:t>
      </w:r>
      <w:r w:rsidR="00733D25">
        <w:rPr>
          <w:rFonts w:ascii="Verdana" w:eastAsia="Verdana" w:hAnsi="Verdana" w:cs="Verdana"/>
          <w:spacing w:val="1"/>
        </w:rPr>
        <w:t>May 2</w:t>
      </w:r>
      <w:r>
        <w:rPr>
          <w:rFonts w:ascii="Verdana" w:eastAsia="Verdana" w:hAnsi="Verdana" w:cs="Verdana"/>
        </w:rPr>
        <w:t xml:space="preserve">, </w:t>
      </w:r>
      <w:r>
        <w:rPr>
          <w:rFonts w:ascii="Verdana" w:eastAsia="Verdana" w:hAnsi="Verdana" w:cs="Verdana"/>
          <w:spacing w:val="-1"/>
        </w:rPr>
        <w:t>201</w:t>
      </w:r>
      <w:r>
        <w:rPr>
          <w:rFonts w:ascii="Verdana" w:eastAsia="Verdana" w:hAnsi="Verdana" w:cs="Verdana"/>
        </w:rPr>
        <w:t>6</w:t>
      </w:r>
    </w:p>
    <w:p w:rsidR="002414DA" w:rsidRDefault="002414DA">
      <w:pPr>
        <w:spacing w:before="5" w:after="0" w:line="260" w:lineRule="exact"/>
        <w:rPr>
          <w:sz w:val="26"/>
          <w:szCs w:val="26"/>
        </w:rPr>
      </w:pPr>
    </w:p>
    <w:p w:rsidR="002414DA" w:rsidRPr="00350F53" w:rsidRDefault="008401F7" w:rsidP="00350F53">
      <w:pPr>
        <w:spacing w:after="0" w:line="283" w:lineRule="exact"/>
        <w:ind w:left="4677" w:right="4676"/>
        <w:jc w:val="center"/>
        <w:rPr>
          <w:rFonts w:ascii="Verdana" w:eastAsia="Verdana" w:hAnsi="Verdana" w:cs="Verdana"/>
          <w:sz w:val="24"/>
          <w:szCs w:val="24"/>
        </w:rPr>
      </w:pPr>
      <w:r>
        <w:rPr>
          <w:rFonts w:ascii="Verdana" w:eastAsia="Verdana" w:hAnsi="Verdana" w:cs="Verdana"/>
          <w:b/>
          <w:bCs/>
          <w:position w:val="-2"/>
          <w:sz w:val="24"/>
          <w:szCs w:val="24"/>
          <w:u w:val="thick" w:color="000000"/>
        </w:rPr>
        <w:t>HE</w:t>
      </w:r>
      <w:r>
        <w:rPr>
          <w:rFonts w:ascii="Verdana" w:eastAsia="Verdana" w:hAnsi="Verdana" w:cs="Verdana"/>
          <w:b/>
          <w:bCs/>
          <w:spacing w:val="1"/>
          <w:position w:val="-2"/>
          <w:sz w:val="24"/>
          <w:szCs w:val="24"/>
          <w:u w:val="thick" w:color="000000"/>
        </w:rPr>
        <w:t>A</w:t>
      </w:r>
      <w:r>
        <w:rPr>
          <w:rFonts w:ascii="Verdana" w:eastAsia="Verdana" w:hAnsi="Verdana" w:cs="Verdana"/>
          <w:b/>
          <w:bCs/>
          <w:spacing w:val="2"/>
          <w:position w:val="-2"/>
          <w:sz w:val="24"/>
          <w:szCs w:val="24"/>
          <w:u w:val="thick" w:color="000000"/>
        </w:rPr>
        <w:t>D</w:t>
      </w:r>
      <w:r>
        <w:rPr>
          <w:rFonts w:ascii="Verdana" w:eastAsia="Verdana" w:hAnsi="Verdana" w:cs="Verdana"/>
          <w:b/>
          <w:bCs/>
          <w:position w:val="-2"/>
          <w:sz w:val="24"/>
          <w:szCs w:val="24"/>
          <w:u w:val="thick" w:color="000000"/>
        </w:rPr>
        <w:t>L</w:t>
      </w:r>
      <w:r>
        <w:rPr>
          <w:rFonts w:ascii="Verdana" w:eastAsia="Verdana" w:hAnsi="Verdana" w:cs="Verdana"/>
          <w:b/>
          <w:bCs/>
          <w:spacing w:val="-1"/>
          <w:w w:val="99"/>
          <w:position w:val="-2"/>
          <w:sz w:val="24"/>
          <w:szCs w:val="24"/>
          <w:u w:val="thick" w:color="000000"/>
        </w:rPr>
        <w:t>I</w:t>
      </w:r>
      <w:r>
        <w:rPr>
          <w:rFonts w:ascii="Verdana" w:eastAsia="Verdana" w:hAnsi="Verdana" w:cs="Verdana"/>
          <w:b/>
          <w:bCs/>
          <w:spacing w:val="-2"/>
          <w:w w:val="99"/>
          <w:position w:val="-2"/>
          <w:sz w:val="24"/>
          <w:szCs w:val="24"/>
          <w:u w:val="thick" w:color="000000"/>
        </w:rPr>
        <w:t>N</w:t>
      </w:r>
      <w:r>
        <w:rPr>
          <w:rFonts w:ascii="Verdana" w:eastAsia="Verdana" w:hAnsi="Verdana" w:cs="Verdana"/>
          <w:b/>
          <w:bCs/>
          <w:spacing w:val="-1"/>
          <w:position w:val="-2"/>
          <w:sz w:val="24"/>
          <w:szCs w:val="24"/>
          <w:u w:val="thick" w:color="000000"/>
        </w:rPr>
        <w:t>E</w:t>
      </w:r>
      <w:r>
        <w:rPr>
          <w:rFonts w:ascii="Verdana" w:eastAsia="Verdana" w:hAnsi="Verdana" w:cs="Verdana"/>
          <w:b/>
          <w:bCs/>
          <w:position w:val="-2"/>
          <w:sz w:val="24"/>
          <w:szCs w:val="24"/>
          <w:u w:val="thick" w:color="000000"/>
        </w:rPr>
        <w:t>S</w:t>
      </w:r>
    </w:p>
    <w:p w:rsidR="002414DA" w:rsidRDefault="002414DA" w:rsidP="00A702E4">
      <w:pPr>
        <w:spacing w:after="0" w:line="240" w:lineRule="auto"/>
        <w:rPr>
          <w:rFonts w:ascii="Verdana" w:eastAsia="Verdana" w:hAnsi="Verdana" w:cs="Verdana"/>
          <w:sz w:val="20"/>
          <w:szCs w:val="20"/>
        </w:rPr>
      </w:pPr>
    </w:p>
    <w:p w:rsidR="00E66EB0" w:rsidRPr="0069737D" w:rsidRDefault="001E17AF" w:rsidP="0018019A">
      <w:pPr>
        <w:spacing w:after="0" w:line="240" w:lineRule="auto"/>
        <w:rPr>
          <w:rFonts w:ascii="Verdana" w:eastAsia="Times New Roman" w:hAnsi="Verdana" w:cs="Courier New"/>
          <w:b/>
          <w:color w:val="000000"/>
          <w:sz w:val="20"/>
          <w:szCs w:val="20"/>
          <w:u w:val="single"/>
        </w:rPr>
      </w:pPr>
      <w:r>
        <w:rPr>
          <w:rFonts w:ascii="Verdana" w:eastAsia="Verdana" w:hAnsi="Verdana" w:cs="Verdana"/>
          <w:b/>
          <w:bCs/>
          <w:position w:val="-2"/>
          <w:u w:val="thick" w:color="000000"/>
        </w:rPr>
        <w:t>HB245</w:t>
      </w:r>
      <w:r w:rsidR="00767B8E">
        <w:rPr>
          <w:rFonts w:ascii="Verdana" w:eastAsia="Verdana" w:hAnsi="Verdana" w:cs="Verdana"/>
          <w:b/>
          <w:bCs/>
          <w:position w:val="-2"/>
          <w:u w:val="thick" w:color="000000"/>
        </w:rPr>
        <w:t xml:space="preserve"> ADVANCES TO THE SENATE BY A VOTE OF 169-31</w:t>
      </w:r>
      <w:r>
        <w:rPr>
          <w:rFonts w:ascii="Verdana" w:eastAsia="Verdana" w:hAnsi="Verdana" w:cs="Verdana"/>
          <w:b/>
          <w:bCs/>
          <w:position w:val="-2"/>
          <w:u w:val="thick" w:color="000000"/>
        </w:rPr>
        <w:t xml:space="preserve"> </w:t>
      </w:r>
    </w:p>
    <w:p w:rsidR="004E602A" w:rsidRPr="00C54D16" w:rsidRDefault="00C54D16" w:rsidP="005D6E9B">
      <w:pPr>
        <w:spacing w:after="0" w:line="240" w:lineRule="auto"/>
        <w:rPr>
          <w:rFonts w:ascii="Verdana" w:eastAsia="Verdana" w:hAnsi="Verdana" w:cs="Verdana"/>
          <w:bCs/>
          <w:spacing w:val="1"/>
          <w:position w:val="-1"/>
          <w:sz w:val="20"/>
          <w:szCs w:val="20"/>
          <w:u w:val="thick" w:color="000000"/>
        </w:rPr>
      </w:pPr>
      <w:r w:rsidRPr="00C54D16">
        <w:rPr>
          <w:rFonts w:ascii="Verdana" w:hAnsi="Verdana"/>
          <w:sz w:val="20"/>
          <w:szCs w:val="20"/>
        </w:rPr>
        <w:t xml:space="preserve">The </w:t>
      </w:r>
      <w:r w:rsidR="00767B8E">
        <w:rPr>
          <w:rFonts w:ascii="Verdana" w:hAnsi="Verdana"/>
          <w:sz w:val="20"/>
          <w:szCs w:val="20"/>
        </w:rPr>
        <w:t xml:space="preserve">Pennsylvania </w:t>
      </w:r>
      <w:r w:rsidRPr="00C54D16">
        <w:rPr>
          <w:rFonts w:ascii="Verdana" w:hAnsi="Verdana"/>
          <w:sz w:val="20"/>
          <w:szCs w:val="20"/>
        </w:rPr>
        <w:t xml:space="preserve">House </w:t>
      </w:r>
      <w:r w:rsidR="00767B8E">
        <w:rPr>
          <w:rFonts w:ascii="Verdana" w:hAnsi="Verdana"/>
          <w:sz w:val="20"/>
          <w:szCs w:val="20"/>
        </w:rPr>
        <w:t>passed</w:t>
      </w:r>
      <w:r w:rsidRPr="00C54D16">
        <w:rPr>
          <w:rFonts w:ascii="Verdana" w:hAnsi="Verdana"/>
          <w:sz w:val="20"/>
          <w:szCs w:val="20"/>
        </w:rPr>
        <w:t xml:space="preserve"> HB245, </w:t>
      </w:r>
      <w:r w:rsidR="00767B8E">
        <w:rPr>
          <w:rFonts w:ascii="Verdana" w:hAnsi="Verdana"/>
          <w:sz w:val="20"/>
          <w:szCs w:val="20"/>
        </w:rPr>
        <w:t xml:space="preserve">which </w:t>
      </w:r>
      <w:r>
        <w:rPr>
          <w:rFonts w:ascii="Verdana" w:hAnsi="Verdana"/>
          <w:sz w:val="20"/>
          <w:szCs w:val="20"/>
        </w:rPr>
        <w:t>amend</w:t>
      </w:r>
      <w:r w:rsidR="00767B8E">
        <w:rPr>
          <w:rFonts w:ascii="Verdana" w:hAnsi="Verdana"/>
          <w:sz w:val="20"/>
          <w:szCs w:val="20"/>
        </w:rPr>
        <w:t>s</w:t>
      </w:r>
      <w:r w:rsidRPr="00C54D16">
        <w:rPr>
          <w:rFonts w:ascii="Verdana" w:hAnsi="Verdana"/>
          <w:sz w:val="20"/>
          <w:szCs w:val="20"/>
        </w:rPr>
        <w:t xml:space="preserve"> th</w:t>
      </w:r>
      <w:r w:rsidR="00D64B36">
        <w:rPr>
          <w:rFonts w:ascii="Verdana" w:hAnsi="Verdana"/>
          <w:sz w:val="20"/>
          <w:szCs w:val="20"/>
        </w:rPr>
        <w:t>e Local Tax Enabling Act (Act 5</w:t>
      </w:r>
      <w:r w:rsidRPr="00C54D16">
        <w:rPr>
          <w:rFonts w:ascii="Verdana" w:hAnsi="Verdana"/>
          <w:sz w:val="20"/>
          <w:szCs w:val="20"/>
        </w:rPr>
        <w:t>11 of 1965) to clarify certain provisions related to the consolidated collection of local income taxes and deli</w:t>
      </w:r>
      <w:r w:rsidR="00E23DD2">
        <w:rPr>
          <w:rFonts w:ascii="Verdana" w:hAnsi="Verdana"/>
          <w:sz w:val="20"/>
          <w:szCs w:val="20"/>
        </w:rPr>
        <w:t>nquent taxes. Specifically,  HB</w:t>
      </w:r>
      <w:r w:rsidRPr="00C54D16">
        <w:rPr>
          <w:rFonts w:ascii="Verdana" w:hAnsi="Verdana"/>
          <w:sz w:val="20"/>
          <w:szCs w:val="20"/>
        </w:rPr>
        <w:t xml:space="preserve">245 amends Section 502(c) of Act 511 to allow a taxpayer earning net profits to meet the requirements for declaration and minimum payment </w:t>
      </w:r>
      <w:r w:rsidR="00E23DD2">
        <w:rPr>
          <w:rFonts w:ascii="Verdana" w:hAnsi="Verdana"/>
          <w:sz w:val="20"/>
          <w:szCs w:val="20"/>
        </w:rPr>
        <w:t>if one</w:t>
      </w:r>
      <w:r w:rsidRPr="00C54D16">
        <w:rPr>
          <w:rFonts w:ascii="Verdana" w:hAnsi="Verdana"/>
          <w:sz w:val="20"/>
          <w:szCs w:val="20"/>
        </w:rPr>
        <w:t xml:space="preserve"> of the following safe harbor exceptions is met: 1) Make four equal, timely estimated payments equal to 100% of the prior year's tax less any earned income tax withheld for the current year; or 2) Make four equal, timely estimated payments equal to 90% of the current year's tax less any earned income tax withheld for the current year.  The bill also amends Section 505(h) to provide that audits of taxes received and disbursed shall be conducted on a calendar year basis. </w:t>
      </w:r>
      <w:r w:rsidR="00E23DD2">
        <w:rPr>
          <w:rFonts w:ascii="Verdana" w:hAnsi="Verdana"/>
          <w:sz w:val="20"/>
          <w:szCs w:val="20"/>
        </w:rPr>
        <w:t xml:space="preserve"> </w:t>
      </w:r>
      <w:r w:rsidRPr="00C54D16">
        <w:rPr>
          <w:rFonts w:ascii="Verdana" w:hAnsi="Verdana"/>
          <w:sz w:val="20"/>
          <w:szCs w:val="20"/>
        </w:rPr>
        <w:t>An examination c</w:t>
      </w:r>
      <w:r w:rsidR="00E23DD2">
        <w:rPr>
          <w:rFonts w:ascii="Verdana" w:hAnsi="Verdana"/>
          <w:sz w:val="20"/>
          <w:szCs w:val="20"/>
        </w:rPr>
        <w:t>onducted on any other basis would</w:t>
      </w:r>
      <w:r w:rsidRPr="00C54D16">
        <w:rPr>
          <w:rFonts w:ascii="Verdana" w:hAnsi="Verdana"/>
          <w:sz w:val="20"/>
          <w:szCs w:val="20"/>
        </w:rPr>
        <w:t xml:space="preserve"> not be accepted by the Department of Community and Economic Development (DCED), and failure to comply with the requirement will be considered noncompliance and result in the imposition of penalties.  Finally, HB245 amends Section 508 to add a section that gives DCED oversight authority of all tax collection committees, tax collectors and tax collection offices.</w:t>
      </w:r>
      <w:r w:rsidR="00767B8E">
        <w:rPr>
          <w:rFonts w:ascii="Verdana" w:hAnsi="Verdana"/>
          <w:sz w:val="20"/>
          <w:szCs w:val="20"/>
        </w:rPr>
        <w:t xml:space="preserve"> The bill awaits referral to the Senate Finance Committee. </w:t>
      </w:r>
      <w:r>
        <w:rPr>
          <w:rFonts w:ascii="Verdana" w:hAnsi="Verdana"/>
          <w:sz w:val="20"/>
          <w:szCs w:val="20"/>
        </w:rPr>
        <w:t xml:space="preserve">  </w:t>
      </w:r>
    </w:p>
    <w:p w:rsidR="00767B8E" w:rsidRDefault="00767B8E" w:rsidP="00382EF6">
      <w:pPr>
        <w:pStyle w:val="NoSpacing"/>
        <w:rPr>
          <w:rFonts w:ascii="Verdana" w:hAnsi="Verdana"/>
          <w:b/>
          <w:u w:val="single"/>
        </w:rPr>
      </w:pPr>
    </w:p>
    <w:p w:rsidR="00767B8E" w:rsidRDefault="00767B8E" w:rsidP="00382EF6">
      <w:pPr>
        <w:pStyle w:val="NoSpacing"/>
        <w:rPr>
          <w:rFonts w:ascii="Verdana" w:hAnsi="Verdana"/>
          <w:b/>
          <w:u w:val="single"/>
        </w:rPr>
      </w:pPr>
      <w:r>
        <w:rPr>
          <w:rFonts w:ascii="Verdana" w:hAnsi="Verdana"/>
          <w:b/>
          <w:u w:val="single"/>
        </w:rPr>
        <w:t>2016-17 BUDGET VEHICLE GAINS TRACTION</w:t>
      </w:r>
    </w:p>
    <w:p w:rsidR="00733D25" w:rsidRPr="00D35A27" w:rsidRDefault="00733D25" w:rsidP="00733D25">
      <w:pPr>
        <w:pStyle w:val="NormalWeb"/>
        <w:shd w:val="clear" w:color="auto" w:fill="FFFFFF"/>
        <w:spacing w:before="0" w:beforeAutospacing="0" w:after="0" w:afterAutospacing="0"/>
        <w:rPr>
          <w:rFonts w:ascii="Verdana" w:hAnsi="Verdana" w:cs="Arial"/>
          <w:color w:val="000000"/>
          <w:sz w:val="20"/>
          <w:szCs w:val="20"/>
        </w:rPr>
      </w:pPr>
      <w:r>
        <w:rPr>
          <w:rFonts w:ascii="Verdana" w:hAnsi="Verdana"/>
          <w:sz w:val="20"/>
          <w:szCs w:val="20"/>
        </w:rPr>
        <w:t xml:space="preserve">This week, the Pennsylvania House advanced HB1999 as the 2016-17 budget vehicle.  The bill received its second consideration by the full House and has been re-referred to the House Appropriations Committee.  </w:t>
      </w:r>
      <w:r w:rsidRPr="00D35A27">
        <w:rPr>
          <w:rFonts w:ascii="Verdana" w:hAnsi="Verdana" w:cs="Arial"/>
          <w:color w:val="000000"/>
          <w:sz w:val="20"/>
          <w:szCs w:val="20"/>
        </w:rPr>
        <w:t xml:space="preserve">Minority Chairman Joseph </w:t>
      </w:r>
      <w:proofErr w:type="spellStart"/>
      <w:r w:rsidRPr="00D35A27">
        <w:rPr>
          <w:rFonts w:ascii="Verdana" w:hAnsi="Verdana" w:cs="Arial"/>
          <w:color w:val="000000"/>
          <w:sz w:val="20"/>
          <w:szCs w:val="20"/>
        </w:rPr>
        <w:t>Markosek</w:t>
      </w:r>
      <w:proofErr w:type="spellEnd"/>
      <w:r w:rsidRPr="00D35A27">
        <w:rPr>
          <w:rFonts w:ascii="Verdana" w:hAnsi="Verdana" w:cs="Arial"/>
          <w:color w:val="000000"/>
          <w:sz w:val="20"/>
          <w:szCs w:val="20"/>
        </w:rPr>
        <w:t xml:space="preserve"> (D-Allegheny) noted that the legislation will serve only as the budget vehicle for the 16-17 budget and acknowledged that the purpose of bill was to move the process along. </w:t>
      </w:r>
    </w:p>
    <w:p w:rsidR="00E23DD2" w:rsidRPr="00DB648C" w:rsidRDefault="00733D25" w:rsidP="00DB648C">
      <w:pPr>
        <w:pStyle w:val="NormalWeb"/>
        <w:shd w:val="clear" w:color="auto" w:fill="FFFFFF"/>
        <w:spacing w:before="0" w:beforeAutospacing="0" w:after="0" w:afterAutospacing="0"/>
        <w:rPr>
          <w:rFonts w:ascii="Verdana" w:hAnsi="Verdana" w:cs="Arial"/>
          <w:color w:val="000000"/>
          <w:sz w:val="20"/>
          <w:szCs w:val="20"/>
        </w:rPr>
      </w:pPr>
      <w:r w:rsidRPr="00D35A27">
        <w:rPr>
          <w:rFonts w:ascii="Verdana" w:hAnsi="Verdana" w:cs="Arial"/>
          <w:color w:val="000000"/>
          <w:sz w:val="20"/>
          <w:szCs w:val="20"/>
        </w:rPr>
        <w:t>Chairman Bill Adolph (R-Delaware) confirmed that the bill will be the budget vehicle. "It's a vehicle nothing more, nothing less. We're putting this in place early because after talk to members on both sides of the aisle we would certainly like to have a budget in place and on time this year. By doing this as early as we can it gives us more time to negotiate," he stated. "This is bill is almost to the dollar the bill that the governor let become law."</w:t>
      </w:r>
      <w:r>
        <w:rPr>
          <w:rFonts w:ascii="Verdana" w:hAnsi="Verdana" w:cs="Arial"/>
          <w:color w:val="000000"/>
          <w:sz w:val="20"/>
          <w:szCs w:val="20"/>
        </w:rPr>
        <w:t xml:space="preserve">  </w:t>
      </w:r>
      <w:r w:rsidRPr="00D35A27">
        <w:rPr>
          <w:rFonts w:ascii="Verdana" w:hAnsi="Verdana" w:cs="Arial"/>
          <w:color w:val="000000"/>
          <w:sz w:val="20"/>
          <w:szCs w:val="20"/>
        </w:rPr>
        <w:t xml:space="preserve">Chairman </w:t>
      </w:r>
      <w:proofErr w:type="spellStart"/>
      <w:r w:rsidRPr="00D35A27">
        <w:rPr>
          <w:rFonts w:ascii="Verdana" w:hAnsi="Verdana" w:cs="Arial"/>
          <w:color w:val="000000"/>
          <w:sz w:val="20"/>
          <w:szCs w:val="20"/>
        </w:rPr>
        <w:t>Markosek</w:t>
      </w:r>
      <w:proofErr w:type="spellEnd"/>
      <w:r w:rsidRPr="00D35A27">
        <w:rPr>
          <w:rFonts w:ascii="Verdana" w:hAnsi="Verdana" w:cs="Arial"/>
          <w:color w:val="000000"/>
          <w:sz w:val="20"/>
          <w:szCs w:val="20"/>
        </w:rPr>
        <w:t xml:space="preserve"> added that the budget did nothing to address the fiscal deficit facing the commonwealth. "Once this process gets going and both sides sit down I think we have to keep in mind that we still have a big, big budget deficit that is not going to go away and it's only going to get worse unless we are serious about taking care of it," he stated.</w:t>
      </w:r>
    </w:p>
    <w:p w:rsidR="001E17AF" w:rsidRDefault="001E17AF" w:rsidP="005D6E9B">
      <w:pPr>
        <w:spacing w:after="0" w:line="240" w:lineRule="auto"/>
        <w:rPr>
          <w:rFonts w:ascii="Verdana" w:eastAsia="Verdana" w:hAnsi="Verdana" w:cs="Verdana"/>
          <w:b/>
          <w:bCs/>
          <w:spacing w:val="1"/>
          <w:position w:val="-1"/>
          <w:u w:val="thick" w:color="000000"/>
        </w:rPr>
      </w:pPr>
    </w:p>
    <w:p w:rsidR="000722BF" w:rsidRPr="00057C92" w:rsidRDefault="000722BF" w:rsidP="000722BF">
      <w:pPr>
        <w:spacing w:after="0" w:line="240" w:lineRule="auto"/>
        <w:rPr>
          <w:rFonts w:ascii="Verdana" w:hAnsi="Verdana"/>
          <w:b/>
          <w:u w:val="single"/>
        </w:rPr>
      </w:pPr>
      <w:r w:rsidRPr="00057C92">
        <w:rPr>
          <w:rFonts w:ascii="Verdana" w:hAnsi="Verdana"/>
          <w:b/>
          <w:u w:val="single"/>
        </w:rPr>
        <w:t>INDEPENDENT FISCAL OFFICE PROVIDES FY 2016-2017 REVENUE ESTIMATE</w:t>
      </w:r>
    </w:p>
    <w:p w:rsidR="000722BF" w:rsidRDefault="000722BF" w:rsidP="000722BF">
      <w:pPr>
        <w:pStyle w:val="NormalWeb"/>
        <w:spacing w:before="0" w:beforeAutospacing="0" w:after="0" w:afterAutospacing="0"/>
        <w:rPr>
          <w:rFonts w:ascii="Verdana" w:hAnsi="Verdana"/>
          <w:sz w:val="20"/>
          <w:szCs w:val="20"/>
        </w:rPr>
      </w:pPr>
      <w:r w:rsidRPr="00D35A27">
        <w:rPr>
          <w:rFonts w:ascii="Verdana" w:hAnsi="Verdana"/>
          <w:sz w:val="20"/>
          <w:szCs w:val="20"/>
        </w:rPr>
        <w:t>Th</w:t>
      </w:r>
      <w:r>
        <w:rPr>
          <w:rFonts w:ascii="Verdana" w:hAnsi="Verdana"/>
          <w:sz w:val="20"/>
          <w:szCs w:val="20"/>
        </w:rPr>
        <w:t>is week, th</w:t>
      </w:r>
      <w:r w:rsidRPr="00D35A27">
        <w:rPr>
          <w:rFonts w:ascii="Verdana" w:hAnsi="Verdana"/>
          <w:sz w:val="20"/>
          <w:szCs w:val="20"/>
        </w:rPr>
        <w:t xml:space="preserve">e Independent </w:t>
      </w:r>
      <w:r>
        <w:rPr>
          <w:rFonts w:ascii="Verdana" w:hAnsi="Verdana"/>
          <w:sz w:val="20"/>
          <w:szCs w:val="20"/>
        </w:rPr>
        <w:t xml:space="preserve">Fiscal Office (IFO) </w:t>
      </w:r>
      <w:r w:rsidRPr="00D35A27">
        <w:rPr>
          <w:rFonts w:ascii="Verdana" w:hAnsi="Verdana"/>
          <w:sz w:val="20"/>
          <w:szCs w:val="20"/>
        </w:rPr>
        <w:t>released revised revenue estimate numbers with pertinent impacts to both th</w:t>
      </w:r>
      <w:r>
        <w:rPr>
          <w:rFonts w:ascii="Verdana" w:hAnsi="Verdana"/>
          <w:sz w:val="20"/>
          <w:szCs w:val="20"/>
        </w:rPr>
        <w:t xml:space="preserve">e current and coming fiscal year.  </w:t>
      </w:r>
      <w:r w:rsidRPr="00D35A27">
        <w:rPr>
          <w:rFonts w:ascii="Verdana" w:hAnsi="Verdana"/>
          <w:sz w:val="20"/>
          <w:szCs w:val="20"/>
        </w:rPr>
        <w:t>As it pertains to the coming fiscal year, the IFO anticipated having $31.586 billion in revenue, which is a growth rate of 1.8 percent over the current fiscal year. According to the IFO, the governor’s proposed budget rang in at $31.772 billion without any of the proposed revenue changes taken into account.</w:t>
      </w:r>
      <w:r>
        <w:rPr>
          <w:rFonts w:ascii="Verdana" w:hAnsi="Verdana"/>
          <w:sz w:val="20"/>
          <w:szCs w:val="20"/>
        </w:rPr>
        <w:t xml:space="preserve"> </w:t>
      </w:r>
      <w:r w:rsidRPr="00D35A27">
        <w:rPr>
          <w:rFonts w:ascii="Verdana" w:hAnsi="Verdana"/>
          <w:sz w:val="20"/>
          <w:szCs w:val="20"/>
        </w:rPr>
        <w:t>With those revenue changes taken into account, the governor’s proposed spending $33.28 billion.</w:t>
      </w:r>
      <w:r>
        <w:rPr>
          <w:rFonts w:ascii="Verdana" w:hAnsi="Verdana"/>
          <w:sz w:val="20"/>
          <w:szCs w:val="20"/>
        </w:rPr>
        <w:t xml:space="preserve">  </w:t>
      </w:r>
      <w:r w:rsidRPr="00D35A27">
        <w:rPr>
          <w:rFonts w:ascii="Verdana" w:hAnsi="Verdana"/>
          <w:sz w:val="20"/>
          <w:szCs w:val="20"/>
        </w:rPr>
        <w:t>The revenue estimate also showed current fiscal year revenues coming in stronger than expected with the IFO adding $100 million to its January mid-year update that increased their reven</w:t>
      </w:r>
      <w:r>
        <w:rPr>
          <w:rFonts w:ascii="Verdana" w:hAnsi="Verdana"/>
          <w:sz w:val="20"/>
          <w:szCs w:val="20"/>
        </w:rPr>
        <w:t xml:space="preserve">ue projections by $200 million.  </w:t>
      </w:r>
      <w:r w:rsidRPr="00D35A27">
        <w:rPr>
          <w:rFonts w:ascii="Verdana" w:hAnsi="Verdana"/>
          <w:sz w:val="20"/>
          <w:szCs w:val="20"/>
        </w:rPr>
        <w:t>In sum for FY 2015-2016, the IFO announced Tuesday that revenues have exceeded their initial estimates by $300 million and 2015-2016’s executive budget by $150 million.</w:t>
      </w:r>
    </w:p>
    <w:p w:rsidR="0007489A" w:rsidRDefault="0007489A" w:rsidP="00E23DD2">
      <w:pPr>
        <w:spacing w:after="0" w:line="240" w:lineRule="auto"/>
        <w:rPr>
          <w:rFonts w:ascii="Verdana" w:hAnsi="Verdana" w:cs="Tahoma"/>
          <w:b/>
          <w:color w:val="000000"/>
          <w:u w:val="single"/>
          <w:shd w:val="clear" w:color="auto" w:fill="FFFFFF"/>
        </w:rPr>
      </w:pPr>
    </w:p>
    <w:p w:rsidR="008E2F63" w:rsidRDefault="00047622" w:rsidP="008E2F63">
      <w:pPr>
        <w:spacing w:after="0" w:line="240" w:lineRule="auto"/>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LEGISLATION LEGALIZING RIDESHARING IN PENNSYLVANIA ADVANCES</w:t>
      </w:r>
    </w:p>
    <w:p w:rsidR="00047622" w:rsidRDefault="00047622" w:rsidP="005D6E9B">
      <w:pPr>
        <w:spacing w:after="0" w:line="240" w:lineRule="auto"/>
        <w:rPr>
          <w:rFonts w:ascii="Verdana" w:eastAsia="Verdana" w:hAnsi="Verdana" w:cs="Verdana"/>
          <w:bCs/>
          <w:spacing w:val="1"/>
          <w:position w:val="-1"/>
          <w:sz w:val="20"/>
          <w:szCs w:val="20"/>
        </w:rPr>
      </w:pPr>
      <w:r w:rsidRPr="00047622">
        <w:rPr>
          <w:rFonts w:ascii="Verdana" w:eastAsia="Verdana" w:hAnsi="Verdana" w:cs="Verdana"/>
          <w:bCs/>
          <w:spacing w:val="1"/>
          <w:position w:val="-1"/>
          <w:sz w:val="20"/>
          <w:szCs w:val="20"/>
        </w:rPr>
        <w:t xml:space="preserve">The House </w:t>
      </w:r>
      <w:r>
        <w:rPr>
          <w:rFonts w:ascii="Verdana" w:eastAsia="Verdana" w:hAnsi="Verdana" w:cs="Verdana"/>
          <w:bCs/>
          <w:spacing w:val="1"/>
          <w:position w:val="-1"/>
          <w:sz w:val="20"/>
          <w:szCs w:val="20"/>
        </w:rPr>
        <w:t>Consumer Affairs Committee voted on</w:t>
      </w:r>
      <w:r w:rsidRPr="00047622">
        <w:rPr>
          <w:rFonts w:ascii="Verdana" w:eastAsia="Verdana" w:hAnsi="Verdana" w:cs="Verdana"/>
          <w:bCs/>
          <w:spacing w:val="1"/>
          <w:position w:val="-1"/>
          <w:sz w:val="20"/>
          <w:szCs w:val="20"/>
        </w:rPr>
        <w:t xml:space="preserve"> a bill </w:t>
      </w:r>
      <w:r>
        <w:rPr>
          <w:rFonts w:ascii="Verdana" w:eastAsia="Verdana" w:hAnsi="Verdana" w:cs="Verdana"/>
          <w:bCs/>
          <w:spacing w:val="1"/>
          <w:position w:val="-1"/>
          <w:sz w:val="20"/>
          <w:szCs w:val="20"/>
        </w:rPr>
        <w:t xml:space="preserve">this </w:t>
      </w:r>
      <w:r w:rsidRPr="00047622">
        <w:rPr>
          <w:rFonts w:ascii="Verdana" w:eastAsia="Verdana" w:hAnsi="Verdana" w:cs="Verdana"/>
          <w:bCs/>
          <w:spacing w:val="1"/>
          <w:position w:val="-1"/>
          <w:sz w:val="20"/>
          <w:szCs w:val="20"/>
        </w:rPr>
        <w:t xml:space="preserve">Wednesday that would authorize transportation network companies—like Uber and Lyft—to </w:t>
      </w:r>
      <w:r>
        <w:rPr>
          <w:rFonts w:ascii="Verdana" w:eastAsia="Verdana" w:hAnsi="Verdana" w:cs="Verdana"/>
          <w:bCs/>
          <w:spacing w:val="1"/>
          <w:position w:val="-1"/>
          <w:sz w:val="20"/>
          <w:szCs w:val="20"/>
        </w:rPr>
        <w:t xml:space="preserve">legally </w:t>
      </w:r>
      <w:r w:rsidRPr="00047622">
        <w:rPr>
          <w:rFonts w:ascii="Verdana" w:eastAsia="Verdana" w:hAnsi="Verdana" w:cs="Verdana"/>
          <w:bCs/>
          <w:spacing w:val="1"/>
          <w:position w:val="-1"/>
          <w:sz w:val="20"/>
          <w:szCs w:val="20"/>
        </w:rPr>
        <w:t>operate in Pennsylvania.</w:t>
      </w:r>
      <w:r>
        <w:rPr>
          <w:rFonts w:ascii="Verdana" w:eastAsia="Verdana" w:hAnsi="Verdana" w:cs="Verdana"/>
          <w:bCs/>
          <w:spacing w:val="1"/>
          <w:position w:val="-1"/>
          <w:sz w:val="20"/>
          <w:szCs w:val="20"/>
        </w:rPr>
        <w:t xml:space="preserve"> </w:t>
      </w:r>
      <w:r w:rsidRPr="00047622">
        <w:rPr>
          <w:rFonts w:ascii="Verdana" w:eastAsia="Verdana" w:hAnsi="Verdana" w:cs="Verdana"/>
          <w:bCs/>
          <w:spacing w:val="1"/>
          <w:position w:val="-1"/>
          <w:sz w:val="20"/>
          <w:szCs w:val="20"/>
        </w:rPr>
        <w:t>Senate</w:t>
      </w:r>
      <w:r>
        <w:rPr>
          <w:rFonts w:ascii="Verdana" w:eastAsia="Verdana" w:hAnsi="Verdana" w:cs="Verdana"/>
          <w:bCs/>
          <w:spacing w:val="1"/>
          <w:position w:val="-1"/>
          <w:sz w:val="20"/>
          <w:szCs w:val="20"/>
        </w:rPr>
        <w:t xml:space="preserve"> Bill 984, which passed the full Senate by a vote of 48-2 last November, was amended to provide for </w:t>
      </w:r>
      <w:r w:rsidRPr="00047622">
        <w:rPr>
          <w:rFonts w:ascii="Verdana" w:eastAsia="Verdana" w:hAnsi="Verdana" w:cs="Verdana"/>
          <w:bCs/>
          <w:spacing w:val="1"/>
          <w:position w:val="-1"/>
          <w:sz w:val="20"/>
          <w:szCs w:val="20"/>
        </w:rPr>
        <w:t xml:space="preserve">authorization of the ride-sharing services to operate in Pennsylvania while also addressing concerns of lawmakers in terms of vehicle safety, insurance issues, and handicap access while also addressing concerns specific to Philadelphia in terms of how such companies would be regulated by the Philadelphia Parking Authority and be compared to taxicab owners.  SB984 awaits consideration by the full House when it returns to session </w:t>
      </w:r>
      <w:r w:rsidRPr="00047622">
        <w:rPr>
          <w:rFonts w:ascii="Verdana" w:eastAsia="Verdana" w:hAnsi="Verdana" w:cs="Verdana"/>
          <w:bCs/>
          <w:spacing w:val="1"/>
          <w:position w:val="-1"/>
          <w:sz w:val="20"/>
          <w:szCs w:val="20"/>
        </w:rPr>
        <w:lastRenderedPageBreak/>
        <w:t>the week of May 16th.</w:t>
      </w:r>
    </w:p>
    <w:p w:rsidR="000722BF" w:rsidRDefault="000722BF" w:rsidP="005D6E9B">
      <w:pPr>
        <w:spacing w:after="0" w:line="240" w:lineRule="auto"/>
        <w:rPr>
          <w:rFonts w:ascii="Verdana" w:eastAsia="Verdana" w:hAnsi="Verdana" w:cs="Verdana"/>
          <w:bCs/>
          <w:spacing w:val="1"/>
          <w:position w:val="-1"/>
          <w:sz w:val="20"/>
          <w:szCs w:val="20"/>
        </w:rPr>
      </w:pPr>
    </w:p>
    <w:p w:rsidR="000722BF" w:rsidRPr="00382EF6" w:rsidRDefault="000722BF" w:rsidP="000722BF">
      <w:pPr>
        <w:pStyle w:val="NormalWeb"/>
        <w:spacing w:before="0" w:beforeAutospacing="0" w:after="0" w:afterAutospacing="0"/>
        <w:rPr>
          <w:rFonts w:ascii="Verdana" w:hAnsi="Verdana"/>
          <w:b/>
          <w:sz w:val="22"/>
          <w:szCs w:val="22"/>
          <w:u w:val="single"/>
        </w:rPr>
      </w:pPr>
      <w:r>
        <w:rPr>
          <w:rFonts w:ascii="Verdana" w:hAnsi="Verdana"/>
          <w:b/>
          <w:sz w:val="22"/>
          <w:szCs w:val="22"/>
          <w:u w:val="single"/>
        </w:rPr>
        <w:t xml:space="preserve">GOVERNOR WOLF SIGNS </w:t>
      </w:r>
      <w:r w:rsidRPr="00382EF6">
        <w:rPr>
          <w:rFonts w:ascii="Verdana" w:hAnsi="Verdana"/>
          <w:b/>
          <w:sz w:val="22"/>
          <w:szCs w:val="22"/>
          <w:u w:val="single"/>
        </w:rPr>
        <w:t xml:space="preserve">HOTEL TAX LEGISLATION </w:t>
      </w:r>
      <w:r>
        <w:rPr>
          <w:rFonts w:ascii="Verdana" w:hAnsi="Verdana"/>
          <w:b/>
          <w:sz w:val="22"/>
          <w:szCs w:val="22"/>
          <w:u w:val="single"/>
        </w:rPr>
        <w:t>INTO LAW AS ACT 18 OF 2016</w:t>
      </w:r>
    </w:p>
    <w:p w:rsidR="000722BF" w:rsidRPr="00047622" w:rsidRDefault="000722BF" w:rsidP="000722BF">
      <w:pPr>
        <w:spacing w:after="0" w:line="240" w:lineRule="auto"/>
        <w:rPr>
          <w:rFonts w:ascii="Verdana" w:hAnsi="Verdana"/>
          <w:b/>
          <w:u w:val="single"/>
        </w:rPr>
      </w:pPr>
      <w:r>
        <w:rPr>
          <w:rFonts w:ascii="Verdana" w:hAnsi="Verdana"/>
          <w:sz w:val="20"/>
          <w:szCs w:val="20"/>
        </w:rPr>
        <w:t>Act 18 of 2016</w:t>
      </w:r>
      <w:r w:rsidRPr="00382EF6">
        <w:rPr>
          <w:rFonts w:ascii="Verdana" w:hAnsi="Verdana"/>
          <w:sz w:val="20"/>
          <w:szCs w:val="20"/>
        </w:rPr>
        <w:t xml:space="preserve"> increases the maximum allowable hotel tax rate from 3% to 5% in 3rd through 8th class counties and institutes reforms to the remittance process and tourist promotion agency certification and de</w:t>
      </w:r>
      <w:r>
        <w:rPr>
          <w:rFonts w:ascii="Verdana" w:hAnsi="Verdana"/>
          <w:sz w:val="20"/>
          <w:szCs w:val="20"/>
        </w:rPr>
        <w:t xml:space="preserve">certification process. Under the law, counties </w:t>
      </w:r>
      <w:r w:rsidRPr="00382EF6">
        <w:rPr>
          <w:rFonts w:ascii="Verdana" w:hAnsi="Verdana"/>
          <w:sz w:val="20"/>
          <w:szCs w:val="20"/>
        </w:rPr>
        <w:t xml:space="preserve">of the 2nd class and 2nd class A </w:t>
      </w:r>
      <w:r>
        <w:rPr>
          <w:rFonts w:ascii="Verdana" w:hAnsi="Verdana"/>
          <w:sz w:val="20"/>
          <w:szCs w:val="20"/>
        </w:rPr>
        <w:t xml:space="preserve">are authorized </w:t>
      </w:r>
      <w:r w:rsidRPr="00382EF6">
        <w:rPr>
          <w:rFonts w:ascii="Verdana" w:hAnsi="Verdana"/>
          <w:sz w:val="20"/>
          <w:szCs w:val="20"/>
        </w:rPr>
        <w:t xml:space="preserve">to impose a hotel tax at a rate not to exceed 5%. This is an increase for Bucks, Montgomery and Delaware counties.  Allegheny County's rate would stay the same.  </w:t>
      </w:r>
    </w:p>
    <w:p w:rsidR="000722BF" w:rsidRDefault="000722BF" w:rsidP="005D6E9B">
      <w:pPr>
        <w:spacing w:after="0" w:line="240" w:lineRule="auto"/>
        <w:rPr>
          <w:rFonts w:ascii="Verdana" w:eastAsia="Verdana" w:hAnsi="Verdana" w:cs="Verdana"/>
          <w:bCs/>
          <w:spacing w:val="1"/>
          <w:position w:val="-1"/>
          <w:sz w:val="20"/>
          <w:szCs w:val="20"/>
          <w:u w:val="thick" w:color="000000"/>
        </w:rPr>
      </w:pPr>
    </w:p>
    <w:p w:rsidR="00047622" w:rsidRPr="00047622" w:rsidRDefault="00047622" w:rsidP="005D6E9B">
      <w:pPr>
        <w:spacing w:after="0" w:line="240" w:lineRule="auto"/>
        <w:rPr>
          <w:rFonts w:ascii="Verdana" w:eastAsia="Verdana" w:hAnsi="Verdana" w:cs="Verdana"/>
          <w:b/>
          <w:bCs/>
          <w:spacing w:val="1"/>
          <w:position w:val="-1"/>
          <w:sz w:val="20"/>
          <w:szCs w:val="20"/>
          <w:u w:val="thick" w:color="000000"/>
        </w:rPr>
      </w:pPr>
    </w:p>
    <w:p w:rsidR="005D6E9B" w:rsidRDefault="005D6E9B" w:rsidP="005D6E9B">
      <w:pPr>
        <w:spacing w:after="0" w:line="240" w:lineRule="auto"/>
        <w:rPr>
          <w:rFonts w:ascii="Verdana" w:eastAsia="Verdana" w:hAnsi="Verdana" w:cs="Verdana"/>
        </w:rPr>
      </w:pPr>
      <w:r>
        <w:rPr>
          <w:rFonts w:ascii="Verdana" w:eastAsia="Verdana" w:hAnsi="Verdana" w:cs="Verdana"/>
          <w:b/>
          <w:bCs/>
          <w:spacing w:val="1"/>
          <w:position w:val="-1"/>
          <w:u w:val="thick" w:color="000000"/>
        </w:rPr>
        <w:t>P</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NN</w:t>
      </w:r>
      <w:r>
        <w:rPr>
          <w:rFonts w:ascii="Verdana" w:eastAsia="Verdana" w:hAnsi="Verdana" w:cs="Verdana"/>
          <w:b/>
          <w:bCs/>
          <w:spacing w:val="2"/>
          <w:position w:val="-1"/>
          <w:u w:val="thick" w:color="000000"/>
        </w:rPr>
        <w:t>S</w:t>
      </w:r>
      <w:r>
        <w:rPr>
          <w:rFonts w:ascii="Verdana" w:eastAsia="Verdana" w:hAnsi="Verdana" w:cs="Verdana"/>
          <w:b/>
          <w:bCs/>
          <w:position w:val="-1"/>
          <w:u w:val="thick" w:color="000000"/>
        </w:rPr>
        <w:t>Y</w:t>
      </w:r>
      <w:r>
        <w:rPr>
          <w:rFonts w:ascii="Verdana" w:eastAsia="Verdana" w:hAnsi="Verdana" w:cs="Verdana"/>
          <w:b/>
          <w:bCs/>
          <w:spacing w:val="-1"/>
          <w:position w:val="-1"/>
          <w:u w:val="thick" w:color="000000"/>
        </w:rPr>
        <w:t>LV</w:t>
      </w:r>
      <w:r>
        <w:rPr>
          <w:rFonts w:ascii="Verdana" w:eastAsia="Verdana" w:hAnsi="Verdana" w:cs="Verdana"/>
          <w:b/>
          <w:bCs/>
          <w:spacing w:val="-3"/>
          <w:position w:val="-1"/>
          <w:u w:val="thick" w:color="000000"/>
        </w:rPr>
        <w:t>A</w:t>
      </w:r>
      <w:r>
        <w:rPr>
          <w:rFonts w:ascii="Verdana" w:eastAsia="Verdana" w:hAnsi="Verdana" w:cs="Verdana"/>
          <w:b/>
          <w:bCs/>
          <w:position w:val="-1"/>
          <w:u w:val="thick" w:color="000000"/>
        </w:rPr>
        <w:t>NIA</w:t>
      </w:r>
      <w:r>
        <w:rPr>
          <w:rFonts w:ascii="Verdana" w:eastAsia="Verdana" w:hAnsi="Verdana" w:cs="Verdana"/>
          <w:b/>
          <w:bCs/>
          <w:spacing w:val="2"/>
          <w:position w:val="-1"/>
          <w:u w:val="thick" w:color="000000"/>
        </w:rPr>
        <w:t xml:space="preserve"> </w:t>
      </w:r>
      <w:r>
        <w:rPr>
          <w:rFonts w:ascii="Verdana" w:eastAsia="Verdana" w:hAnsi="Verdana" w:cs="Verdana"/>
          <w:b/>
          <w:bCs/>
          <w:spacing w:val="-2"/>
          <w:position w:val="-1"/>
          <w:u w:val="thick" w:color="000000"/>
        </w:rPr>
        <w:t>GE</w:t>
      </w:r>
      <w:r>
        <w:rPr>
          <w:rFonts w:ascii="Verdana" w:eastAsia="Verdana" w:hAnsi="Verdana" w:cs="Verdana"/>
          <w:b/>
          <w:bCs/>
          <w:position w:val="-1"/>
          <w:u w:val="thick" w:color="000000"/>
        </w:rPr>
        <w:t>N</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R</w:t>
      </w:r>
      <w:r>
        <w:rPr>
          <w:rFonts w:ascii="Verdana" w:eastAsia="Verdana" w:hAnsi="Verdana" w:cs="Verdana"/>
          <w:b/>
          <w:bCs/>
          <w:spacing w:val="1"/>
          <w:position w:val="-1"/>
          <w:u w:val="thick" w:color="000000"/>
        </w:rPr>
        <w:t>A</w:t>
      </w:r>
      <w:r>
        <w:rPr>
          <w:rFonts w:ascii="Verdana" w:eastAsia="Verdana" w:hAnsi="Verdana" w:cs="Verdana"/>
          <w:b/>
          <w:bCs/>
          <w:position w:val="-1"/>
          <w:u w:val="thick" w:color="000000"/>
        </w:rPr>
        <w:t>L</w:t>
      </w:r>
      <w:r>
        <w:rPr>
          <w:rFonts w:ascii="Verdana" w:eastAsia="Verdana" w:hAnsi="Verdana" w:cs="Verdana"/>
          <w:b/>
          <w:bCs/>
          <w:spacing w:val="-5"/>
          <w:position w:val="-1"/>
          <w:u w:val="thick" w:color="000000"/>
        </w:rPr>
        <w:t xml:space="preserve"> </w:t>
      </w:r>
      <w:r>
        <w:rPr>
          <w:rFonts w:ascii="Verdana" w:eastAsia="Verdana" w:hAnsi="Verdana" w:cs="Verdana"/>
          <w:b/>
          <w:bCs/>
          <w:spacing w:val="1"/>
          <w:position w:val="-1"/>
          <w:u w:val="thick" w:color="000000"/>
        </w:rPr>
        <w:t>A</w:t>
      </w:r>
      <w:r>
        <w:rPr>
          <w:rFonts w:ascii="Verdana" w:eastAsia="Verdana" w:hAnsi="Verdana" w:cs="Verdana"/>
          <w:b/>
          <w:bCs/>
          <w:spacing w:val="-3"/>
          <w:position w:val="-1"/>
          <w:u w:val="thick" w:color="000000"/>
        </w:rPr>
        <w:t>S</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E</w:t>
      </w:r>
      <w:r>
        <w:rPr>
          <w:rFonts w:ascii="Verdana" w:eastAsia="Verdana" w:hAnsi="Verdana" w:cs="Verdana"/>
          <w:b/>
          <w:bCs/>
          <w:spacing w:val="2"/>
          <w:position w:val="-1"/>
          <w:u w:val="thick" w:color="000000"/>
        </w:rPr>
        <w:t>M</w:t>
      </w:r>
      <w:r>
        <w:rPr>
          <w:rFonts w:ascii="Verdana" w:eastAsia="Verdana" w:hAnsi="Verdana" w:cs="Verdana"/>
          <w:b/>
          <w:bCs/>
          <w:position w:val="-1"/>
          <w:u w:val="thick" w:color="000000"/>
        </w:rPr>
        <w:t>B</w:t>
      </w:r>
      <w:r>
        <w:rPr>
          <w:rFonts w:ascii="Verdana" w:eastAsia="Verdana" w:hAnsi="Verdana" w:cs="Verdana"/>
          <w:b/>
          <w:bCs/>
          <w:spacing w:val="-2"/>
          <w:position w:val="-1"/>
          <w:u w:val="thick" w:color="000000"/>
        </w:rPr>
        <w:t>L</w:t>
      </w:r>
      <w:r>
        <w:rPr>
          <w:rFonts w:ascii="Verdana" w:eastAsia="Verdana" w:hAnsi="Verdana" w:cs="Verdana"/>
          <w:b/>
          <w:bCs/>
          <w:position w:val="-1"/>
          <w:u w:val="thick" w:color="000000"/>
        </w:rPr>
        <w:t>Y</w:t>
      </w:r>
      <w:r>
        <w:rPr>
          <w:rFonts w:ascii="Verdana" w:eastAsia="Verdana" w:hAnsi="Verdana" w:cs="Verdana"/>
          <w:b/>
          <w:bCs/>
          <w:spacing w:val="-3"/>
          <w:position w:val="-1"/>
          <w:u w:val="thick" w:color="000000"/>
        </w:rPr>
        <w:t xml:space="preserve"> S</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SS</w:t>
      </w:r>
      <w:r>
        <w:rPr>
          <w:rFonts w:ascii="Verdana" w:eastAsia="Verdana" w:hAnsi="Verdana" w:cs="Verdana"/>
          <w:b/>
          <w:bCs/>
          <w:position w:val="-1"/>
          <w:u w:val="thick" w:color="000000"/>
        </w:rPr>
        <w:t>I</w:t>
      </w:r>
      <w:r>
        <w:rPr>
          <w:rFonts w:ascii="Verdana" w:eastAsia="Verdana" w:hAnsi="Verdana" w:cs="Verdana"/>
          <w:b/>
          <w:bCs/>
          <w:spacing w:val="-1"/>
          <w:position w:val="-1"/>
          <w:u w:val="thick" w:color="000000"/>
        </w:rPr>
        <w:t>O</w:t>
      </w:r>
      <w:r>
        <w:rPr>
          <w:rFonts w:ascii="Verdana" w:eastAsia="Verdana" w:hAnsi="Verdana" w:cs="Verdana"/>
          <w:b/>
          <w:bCs/>
          <w:position w:val="-1"/>
          <w:u w:val="thick" w:color="000000"/>
        </w:rPr>
        <w:t>N</w:t>
      </w:r>
      <w:r>
        <w:rPr>
          <w:rFonts w:ascii="Verdana" w:eastAsia="Verdana" w:hAnsi="Verdana" w:cs="Verdana"/>
          <w:b/>
          <w:bCs/>
          <w:spacing w:val="-3"/>
          <w:position w:val="-1"/>
          <w:u w:val="thick" w:color="000000"/>
        </w:rPr>
        <w:t xml:space="preserve"> </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C</w:t>
      </w:r>
      <w:r>
        <w:rPr>
          <w:rFonts w:ascii="Verdana" w:eastAsia="Verdana" w:hAnsi="Verdana" w:cs="Verdana"/>
          <w:b/>
          <w:bCs/>
          <w:spacing w:val="2"/>
          <w:position w:val="-1"/>
          <w:u w:val="thick" w:color="000000"/>
        </w:rPr>
        <w:t>H</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D</w:t>
      </w:r>
      <w:r>
        <w:rPr>
          <w:rFonts w:ascii="Verdana" w:eastAsia="Verdana" w:hAnsi="Verdana" w:cs="Verdana"/>
          <w:b/>
          <w:bCs/>
          <w:spacing w:val="-2"/>
          <w:position w:val="-1"/>
          <w:u w:val="thick" w:color="000000"/>
        </w:rPr>
        <w:t>UL</w:t>
      </w:r>
      <w:r>
        <w:rPr>
          <w:rFonts w:ascii="Verdana" w:eastAsia="Verdana" w:hAnsi="Verdana" w:cs="Verdana"/>
          <w:b/>
          <w:bCs/>
          <w:spacing w:val="4"/>
          <w:position w:val="-1"/>
          <w:u w:val="thick" w:color="000000"/>
        </w:rPr>
        <w:t>E</w:t>
      </w:r>
      <w:r>
        <w:rPr>
          <w:rFonts w:ascii="Verdana" w:eastAsia="Verdana" w:hAnsi="Verdana" w:cs="Verdana"/>
          <w:b/>
          <w:bCs/>
          <w:position w:val="-1"/>
        </w:rPr>
        <w:t>:</w:t>
      </w:r>
    </w:p>
    <w:p w:rsidR="005D6E9B" w:rsidRDefault="005D6E9B" w:rsidP="005D6E9B">
      <w:pPr>
        <w:spacing w:after="0" w:line="240" w:lineRule="auto"/>
        <w:rPr>
          <w:sz w:val="24"/>
          <w:szCs w:val="24"/>
        </w:rPr>
      </w:pPr>
    </w:p>
    <w:p w:rsidR="005D6E9B" w:rsidRDefault="005D6E9B" w:rsidP="005D6E9B">
      <w:pPr>
        <w:spacing w:after="0" w:line="240" w:lineRule="auto"/>
        <w:rPr>
          <w:rFonts w:ascii="Verdana" w:eastAsia="Verdana" w:hAnsi="Verdana" w:cs="Verdana"/>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EN</w:t>
      </w:r>
      <w:r>
        <w:rPr>
          <w:rFonts w:ascii="Verdana" w:eastAsia="Verdana" w:hAnsi="Verdana" w:cs="Verdana"/>
          <w:b/>
          <w:bCs/>
          <w:spacing w:val="2"/>
          <w:position w:val="-1"/>
          <w:sz w:val="20"/>
          <w:szCs w:val="20"/>
        </w:rPr>
        <w:t>A</w:t>
      </w:r>
      <w:r>
        <w:rPr>
          <w:rFonts w:ascii="Verdana" w:eastAsia="Verdana" w:hAnsi="Verdana" w:cs="Verdana"/>
          <w:b/>
          <w:bCs/>
          <w:spacing w:val="-3"/>
          <w:position w:val="-1"/>
          <w:sz w:val="20"/>
          <w:szCs w:val="20"/>
        </w:rPr>
        <w:t>T</w:t>
      </w:r>
      <w:r>
        <w:rPr>
          <w:rFonts w:ascii="Verdana" w:eastAsia="Verdana" w:hAnsi="Verdana" w:cs="Verdana"/>
          <w:b/>
          <w:bCs/>
          <w:position w:val="-1"/>
          <w:sz w:val="20"/>
          <w:szCs w:val="20"/>
        </w:rPr>
        <w:t xml:space="preserve">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w:t>
      </w:r>
      <w:r>
        <w:rPr>
          <w:rFonts w:ascii="Verdana" w:eastAsia="Verdana" w:hAnsi="Verdana" w:cs="Verdana"/>
          <w:b/>
          <w:bCs/>
          <w:spacing w:val="1"/>
          <w:position w:val="-1"/>
          <w:sz w:val="20"/>
          <w:szCs w:val="20"/>
        </w:rPr>
        <w:t>S</w:t>
      </w:r>
      <w:r>
        <w:rPr>
          <w:rFonts w:ascii="Verdana" w:eastAsia="Verdana" w:hAnsi="Verdana" w:cs="Verdana"/>
          <w:b/>
          <w:bCs/>
          <w:spacing w:val="-4"/>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086"/>
        <w:gridCol w:w="6637"/>
      </w:tblGrid>
      <w:tr w:rsidR="005D6E9B" w:rsidTr="006550B9">
        <w:trPr>
          <w:trHeight w:hRule="exact" w:val="243"/>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ay</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9</w:t>
            </w:r>
            <w:r>
              <w:rPr>
                <w:rFonts w:ascii="Verdana" w:eastAsia="Verdana" w:hAnsi="Verdana" w:cs="Verdana"/>
                <w:sz w:val="20"/>
                <w:szCs w:val="20"/>
              </w:rPr>
              <w:t xml:space="preserve">, </w:t>
            </w:r>
            <w:r>
              <w:rPr>
                <w:rFonts w:ascii="Verdana" w:eastAsia="Verdana" w:hAnsi="Verdana" w:cs="Verdana"/>
                <w:spacing w:val="1"/>
                <w:sz w:val="20"/>
                <w:szCs w:val="20"/>
              </w:rPr>
              <w:t>10</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z w:val="20"/>
                <w:szCs w:val="20"/>
              </w:rPr>
              <w:t>8</w:t>
            </w:r>
          </w:p>
        </w:tc>
      </w:tr>
      <w:tr w:rsidR="005D6E9B" w:rsidTr="006550B9">
        <w:trPr>
          <w:trHeight w:hRule="exact" w:val="321"/>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0</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22</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w:t>
            </w:r>
            <w:r>
              <w:rPr>
                <w:rFonts w:ascii="Verdana" w:eastAsia="Verdana" w:hAnsi="Verdana" w:cs="Verdana"/>
                <w:spacing w:val="-3"/>
                <w:sz w:val="20"/>
                <w:szCs w:val="20"/>
              </w:rPr>
              <w:t>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5D6E9B" w:rsidRDefault="005D6E9B" w:rsidP="005D6E9B">
      <w:pPr>
        <w:spacing w:after="0" w:line="240" w:lineRule="auto"/>
        <w:rPr>
          <w:sz w:val="12"/>
          <w:szCs w:val="12"/>
        </w:rPr>
      </w:pPr>
    </w:p>
    <w:p w:rsidR="005D6E9B" w:rsidRPr="008401F7" w:rsidRDefault="005D6E9B" w:rsidP="005D6E9B">
      <w:pPr>
        <w:spacing w:after="0" w:line="240" w:lineRule="auto"/>
        <w:rPr>
          <w:rFonts w:ascii="Verdana" w:eastAsia="Verdana" w:hAnsi="Verdana" w:cs="Verdana"/>
          <w:b/>
          <w:bCs/>
          <w:position w:val="-1"/>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H</w:t>
      </w:r>
      <w:r>
        <w:rPr>
          <w:rFonts w:ascii="Verdana" w:eastAsia="Verdana" w:hAnsi="Verdana" w:cs="Verdana"/>
          <w:b/>
          <w:bCs/>
          <w:spacing w:val="1"/>
          <w:position w:val="-1"/>
          <w:sz w:val="20"/>
          <w:szCs w:val="20"/>
        </w:rPr>
        <w:t>O</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 xml:space="preserve">E </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E</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103"/>
        <w:gridCol w:w="6644"/>
      </w:tblGrid>
      <w:tr w:rsidR="005D6E9B" w:rsidTr="006550B9">
        <w:trPr>
          <w:trHeight w:hRule="exact" w:val="242"/>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ay</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3"/>
                <w:sz w:val="20"/>
                <w:szCs w:val="20"/>
              </w:rPr>
              <w:t>1</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23</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4</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z w:val="20"/>
                <w:szCs w:val="20"/>
              </w:rPr>
              <w:t>5</w:t>
            </w:r>
          </w:p>
        </w:tc>
      </w:tr>
      <w:tr w:rsidR="005D6E9B" w:rsidTr="006550B9">
        <w:trPr>
          <w:trHeight w:hRule="exact" w:val="323"/>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20</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2</w:t>
            </w:r>
            <w:r>
              <w:rPr>
                <w:rFonts w:ascii="Verdana" w:eastAsia="Verdana" w:hAnsi="Verdana" w:cs="Verdana"/>
                <w:sz w:val="20"/>
                <w:szCs w:val="20"/>
              </w:rPr>
              <w:t xml:space="preserve">, </w:t>
            </w:r>
            <w:r>
              <w:rPr>
                <w:rFonts w:ascii="Verdana" w:eastAsia="Verdana" w:hAnsi="Verdana" w:cs="Verdana"/>
                <w:spacing w:val="-3"/>
                <w:sz w:val="20"/>
                <w:szCs w:val="20"/>
              </w:rPr>
              <w:t>23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795275" w:rsidRDefault="00795275" w:rsidP="004E602A">
      <w:pPr>
        <w:spacing w:after="0" w:line="240" w:lineRule="auto"/>
        <w:rPr>
          <w:rFonts w:ascii="Verdana" w:eastAsia="Verdana" w:hAnsi="Verdana" w:cs="Verdana"/>
          <w:b/>
          <w:bCs/>
          <w:position w:val="-2"/>
          <w:sz w:val="24"/>
          <w:szCs w:val="24"/>
          <w:u w:val="thick" w:color="000000"/>
        </w:rPr>
      </w:pPr>
    </w:p>
    <w:p w:rsidR="004E602A" w:rsidRPr="004254B9" w:rsidRDefault="006F11E9" w:rsidP="004E602A">
      <w:pPr>
        <w:spacing w:after="0" w:line="240" w:lineRule="auto"/>
        <w:rPr>
          <w:rFonts w:ascii="Verdana" w:eastAsia="Verdana" w:hAnsi="Verdana" w:cs="Verdana"/>
          <w:b/>
          <w:bCs/>
          <w:position w:val="-2"/>
          <w:u w:val="thick" w:color="000000"/>
        </w:rPr>
      </w:pPr>
      <w:r w:rsidRPr="004254B9">
        <w:rPr>
          <w:rFonts w:ascii="Verdana" w:eastAsia="Verdana" w:hAnsi="Verdana" w:cs="Verdana"/>
          <w:b/>
          <w:bCs/>
          <w:position w:val="-2"/>
          <w:u w:val="thick" w:color="000000"/>
        </w:rPr>
        <w:t>DEPARTMENT OF REVENUE UPDATES</w:t>
      </w:r>
    </w:p>
    <w:p w:rsidR="000722BF" w:rsidRDefault="000722BF" w:rsidP="000722BF">
      <w:pPr>
        <w:spacing w:after="0" w:line="240" w:lineRule="auto"/>
        <w:rPr>
          <w:rFonts w:ascii="Verdana" w:hAnsi="Verdana"/>
          <w:sz w:val="20"/>
          <w:szCs w:val="20"/>
        </w:rPr>
      </w:pPr>
      <w:r>
        <w:rPr>
          <w:rFonts w:ascii="Verdana" w:hAnsi="Verdana"/>
          <w:sz w:val="20"/>
          <w:szCs w:val="20"/>
        </w:rPr>
        <w:t xml:space="preserve">This week, the </w:t>
      </w:r>
      <w:r w:rsidRPr="00057C92">
        <w:rPr>
          <w:rFonts w:ascii="Verdana" w:hAnsi="Verdana"/>
          <w:sz w:val="20"/>
          <w:szCs w:val="20"/>
        </w:rPr>
        <w:t xml:space="preserve">Pennsylvania </w:t>
      </w:r>
      <w:r>
        <w:rPr>
          <w:rFonts w:ascii="Verdana" w:hAnsi="Verdana"/>
          <w:sz w:val="20"/>
          <w:szCs w:val="20"/>
        </w:rPr>
        <w:t xml:space="preserve">Department of Revenue released its April 2016 collections.  Specifically, PA </w:t>
      </w:r>
      <w:r w:rsidRPr="00057C92">
        <w:rPr>
          <w:rFonts w:ascii="Verdana" w:hAnsi="Verdana"/>
          <w:sz w:val="20"/>
          <w:szCs w:val="20"/>
        </w:rPr>
        <w:t>collected $3.7 billion in General Fund revenue in April, which was $24.8 million, or 0.7 percent, less than anticipate</w:t>
      </w:r>
      <w:r>
        <w:rPr>
          <w:rFonts w:ascii="Verdana" w:hAnsi="Verdana"/>
          <w:sz w:val="20"/>
          <w:szCs w:val="20"/>
        </w:rPr>
        <w:t xml:space="preserve">d. </w:t>
      </w:r>
      <w:r w:rsidRPr="00057C92">
        <w:rPr>
          <w:rFonts w:ascii="Verdana" w:hAnsi="Verdana"/>
          <w:sz w:val="20"/>
          <w:szCs w:val="20"/>
        </w:rPr>
        <w:t xml:space="preserve">Fiscal year-to-date General Fund collections total $25.9 billion, which is $122.6 million, </w:t>
      </w:r>
      <w:r>
        <w:rPr>
          <w:rFonts w:ascii="Verdana" w:hAnsi="Verdana"/>
          <w:sz w:val="20"/>
          <w:szCs w:val="20"/>
        </w:rPr>
        <w:t>or 0.5 percent, above estimate.</w:t>
      </w:r>
    </w:p>
    <w:p w:rsidR="000722BF" w:rsidRPr="00353F9F" w:rsidRDefault="000722BF" w:rsidP="000722BF">
      <w:pPr>
        <w:pStyle w:val="ListParagraph"/>
        <w:numPr>
          <w:ilvl w:val="0"/>
          <w:numId w:val="2"/>
        </w:numPr>
        <w:spacing w:after="0" w:line="240" w:lineRule="auto"/>
        <w:rPr>
          <w:rFonts w:ascii="Verdana" w:hAnsi="Verdana"/>
          <w:sz w:val="20"/>
          <w:szCs w:val="20"/>
        </w:rPr>
      </w:pPr>
      <w:r w:rsidRPr="00057C92">
        <w:rPr>
          <w:rFonts w:ascii="Verdana" w:hAnsi="Verdana"/>
          <w:sz w:val="20"/>
          <w:szCs w:val="20"/>
        </w:rPr>
        <w:t>Sales tax receipts totaled $842.2 million for April, $21.5 million below estimate. Year-to-date sales tax collections total $8.1 billion, which is $6.3 million, or 0.1 percent, more than anticipated.</w:t>
      </w:r>
    </w:p>
    <w:p w:rsidR="000722BF" w:rsidRPr="00353F9F" w:rsidRDefault="000722BF" w:rsidP="000722BF">
      <w:pPr>
        <w:pStyle w:val="ListParagraph"/>
        <w:numPr>
          <w:ilvl w:val="0"/>
          <w:numId w:val="2"/>
        </w:numPr>
        <w:spacing w:after="0" w:line="240" w:lineRule="auto"/>
        <w:rPr>
          <w:rFonts w:ascii="Verdana" w:hAnsi="Verdana"/>
          <w:sz w:val="20"/>
          <w:szCs w:val="20"/>
        </w:rPr>
      </w:pPr>
      <w:r w:rsidRPr="00057C92">
        <w:rPr>
          <w:rFonts w:ascii="Verdana" w:hAnsi="Verdana"/>
          <w:sz w:val="20"/>
          <w:szCs w:val="20"/>
        </w:rPr>
        <w:t>Personal income tax (PIT) revenue in April was $1.9 billion, $85 million below estimate. This brings year-to-date PIT collections to $10.5 billion, which is $106.5 million, or 1 percent, below estimate.</w:t>
      </w:r>
    </w:p>
    <w:p w:rsidR="000722BF" w:rsidRPr="00353F9F" w:rsidRDefault="000722BF" w:rsidP="000722BF">
      <w:pPr>
        <w:pStyle w:val="ListParagraph"/>
        <w:numPr>
          <w:ilvl w:val="0"/>
          <w:numId w:val="2"/>
        </w:numPr>
        <w:spacing w:after="0" w:line="240" w:lineRule="auto"/>
        <w:rPr>
          <w:rFonts w:ascii="Verdana" w:hAnsi="Verdana"/>
          <w:sz w:val="20"/>
          <w:szCs w:val="20"/>
        </w:rPr>
      </w:pPr>
      <w:r w:rsidRPr="00057C92">
        <w:rPr>
          <w:rFonts w:ascii="Verdana" w:hAnsi="Verdana"/>
          <w:sz w:val="20"/>
          <w:szCs w:val="20"/>
        </w:rPr>
        <w:t>April corporation tax revenue of $481.9 million was $33.3 million above estimate. Year-to-date corporation tax collections total $4.5 billion, which is $105.8 million, or 2.4 percent, above estimate.</w:t>
      </w:r>
    </w:p>
    <w:p w:rsidR="000722BF" w:rsidRPr="00353F9F" w:rsidRDefault="000722BF" w:rsidP="000722BF">
      <w:pPr>
        <w:pStyle w:val="ListParagraph"/>
        <w:numPr>
          <w:ilvl w:val="0"/>
          <w:numId w:val="2"/>
        </w:numPr>
        <w:spacing w:after="0" w:line="240" w:lineRule="auto"/>
        <w:rPr>
          <w:rFonts w:ascii="Verdana" w:hAnsi="Verdana"/>
          <w:sz w:val="20"/>
          <w:szCs w:val="20"/>
        </w:rPr>
      </w:pPr>
      <w:r w:rsidRPr="00057C92">
        <w:rPr>
          <w:rFonts w:ascii="Verdana" w:hAnsi="Verdana"/>
          <w:sz w:val="20"/>
          <w:szCs w:val="20"/>
        </w:rPr>
        <w:t>Inheritance tax revenue for the month was $67.2 million, $11.3 million below estimate, bringing the year-to-date total to $769.6 million, which is $20 million, or 2.7 percent, above estimate.</w:t>
      </w:r>
    </w:p>
    <w:p w:rsidR="000722BF" w:rsidRPr="00353F9F" w:rsidRDefault="000722BF" w:rsidP="000722BF">
      <w:pPr>
        <w:pStyle w:val="ListParagraph"/>
        <w:numPr>
          <w:ilvl w:val="0"/>
          <w:numId w:val="2"/>
        </w:numPr>
        <w:spacing w:after="0" w:line="240" w:lineRule="auto"/>
        <w:rPr>
          <w:rFonts w:ascii="Verdana" w:hAnsi="Verdana"/>
          <w:sz w:val="20"/>
          <w:szCs w:val="20"/>
        </w:rPr>
      </w:pPr>
      <w:r w:rsidRPr="00057C92">
        <w:rPr>
          <w:rFonts w:ascii="Verdana" w:hAnsi="Verdana"/>
          <w:sz w:val="20"/>
          <w:szCs w:val="20"/>
        </w:rPr>
        <w:t>Realty transfer tax revenue was $32.8 million for April, $3.8 million below estimate, bringing the fiscal-year total to $389.2 million, which is $1.5 million, or 0.4 percent, more than anticipated.</w:t>
      </w:r>
    </w:p>
    <w:p w:rsidR="000722BF" w:rsidRPr="00353F9F" w:rsidRDefault="000722BF" w:rsidP="000722BF">
      <w:pPr>
        <w:pStyle w:val="ListParagraph"/>
        <w:numPr>
          <w:ilvl w:val="0"/>
          <w:numId w:val="2"/>
        </w:numPr>
        <w:spacing w:after="0" w:line="240" w:lineRule="auto"/>
        <w:rPr>
          <w:rFonts w:ascii="Verdana" w:hAnsi="Verdana"/>
          <w:sz w:val="20"/>
          <w:szCs w:val="20"/>
        </w:rPr>
      </w:pPr>
      <w:r w:rsidRPr="00057C92">
        <w:rPr>
          <w:rFonts w:ascii="Verdana" w:hAnsi="Verdana"/>
          <w:sz w:val="20"/>
          <w:szCs w:val="20"/>
        </w:rPr>
        <w:t>Other General Fund tax revenue, including cigarette, malt beverage, liquor and table games taxes, totaled $119.1 million for the month, $500,000 above estimate and bringing the year-to-date total to $1.1 billion, which is $3.3 million, or 0.3 percent, below estimate.</w:t>
      </w:r>
    </w:p>
    <w:p w:rsidR="000722BF" w:rsidRPr="00353F9F" w:rsidRDefault="000722BF" w:rsidP="000722BF">
      <w:pPr>
        <w:pStyle w:val="ListParagraph"/>
        <w:numPr>
          <w:ilvl w:val="0"/>
          <w:numId w:val="2"/>
        </w:numPr>
        <w:spacing w:after="0" w:line="240" w:lineRule="auto"/>
        <w:rPr>
          <w:rFonts w:ascii="Verdana" w:hAnsi="Verdana"/>
          <w:sz w:val="20"/>
          <w:szCs w:val="20"/>
        </w:rPr>
      </w:pPr>
      <w:r w:rsidRPr="00057C92">
        <w:rPr>
          <w:rFonts w:ascii="Verdana" w:hAnsi="Verdana"/>
          <w:sz w:val="20"/>
          <w:szCs w:val="20"/>
        </w:rPr>
        <w:t>Non-tax revenue totaled $234.8 million for the month, $62.9 million above estimate, bringing the year-to-date total to $574.5 million, which is $98.8 million, or 20.8 percent, above estimate.</w:t>
      </w:r>
    </w:p>
    <w:p w:rsidR="000722BF" w:rsidRPr="00D35A27" w:rsidRDefault="000722BF" w:rsidP="000722BF">
      <w:pPr>
        <w:spacing w:after="0" w:line="240" w:lineRule="auto"/>
        <w:rPr>
          <w:rFonts w:ascii="Verdana" w:hAnsi="Verdana"/>
          <w:sz w:val="20"/>
          <w:szCs w:val="20"/>
        </w:rPr>
      </w:pPr>
      <w:r w:rsidRPr="00057C92">
        <w:rPr>
          <w:rFonts w:ascii="Verdana" w:hAnsi="Verdana"/>
          <w:sz w:val="20"/>
          <w:szCs w:val="20"/>
        </w:rPr>
        <w:t>In addition to the General Fund collections, the Motor License Fund received $220.4 million for the month, $27.2 million below estimate. Fiscal year-to-date collections for the fund – which include the commonly known gas and diesel taxes, as well as other license, fine and fee revenues – total $2.2 billion, which is $38 million, or 1.7 percent, below estimate.</w:t>
      </w:r>
    </w:p>
    <w:p w:rsidR="001B71E7" w:rsidRPr="00493C64" w:rsidRDefault="001B71E7" w:rsidP="004E602A">
      <w:pPr>
        <w:spacing w:after="0" w:line="240" w:lineRule="auto"/>
        <w:rPr>
          <w:rFonts w:ascii="Verdana" w:eastAsia="Verdana" w:hAnsi="Verdana" w:cs="Verdana"/>
          <w:b/>
          <w:bCs/>
          <w:position w:val="-2"/>
          <w:sz w:val="24"/>
          <w:szCs w:val="24"/>
          <w:u w:val="thick" w:color="000000"/>
        </w:rPr>
      </w:pPr>
    </w:p>
    <w:p w:rsidR="006F11E9" w:rsidRPr="00493C64" w:rsidRDefault="006F11E9" w:rsidP="004E602A">
      <w:pPr>
        <w:spacing w:after="0" w:line="240" w:lineRule="auto"/>
        <w:rPr>
          <w:rFonts w:ascii="Verdana" w:eastAsia="Verdana" w:hAnsi="Verdana" w:cs="Verdana"/>
          <w:b/>
          <w:bCs/>
          <w:position w:val="-2"/>
          <w:u w:val="thick" w:color="000000"/>
        </w:rPr>
      </w:pPr>
      <w:r w:rsidRPr="00493C64">
        <w:rPr>
          <w:rFonts w:ascii="Verdana" w:eastAsia="Verdana" w:hAnsi="Verdana" w:cs="Verdana"/>
          <w:b/>
          <w:bCs/>
          <w:position w:val="-2"/>
          <w:u w:val="thick" w:color="000000"/>
        </w:rPr>
        <w:t>IRRC UPDATES</w:t>
      </w:r>
    </w:p>
    <w:p w:rsidR="008401F7" w:rsidRPr="00493C64" w:rsidRDefault="008401F7" w:rsidP="004E602A">
      <w:pPr>
        <w:spacing w:after="0" w:line="240" w:lineRule="auto"/>
        <w:rPr>
          <w:rFonts w:ascii="Verdana" w:eastAsia="Verdana" w:hAnsi="Verdana" w:cs="Verdana"/>
          <w:sz w:val="24"/>
          <w:szCs w:val="24"/>
        </w:rPr>
      </w:pPr>
    </w:p>
    <w:p w:rsidR="004E602A" w:rsidRPr="00493C64" w:rsidRDefault="005F01EF" w:rsidP="004E602A">
      <w:pPr>
        <w:spacing w:after="0" w:line="240" w:lineRule="auto"/>
        <w:rPr>
          <w:sz w:val="24"/>
          <w:szCs w:val="24"/>
        </w:rPr>
      </w:pPr>
      <w:r w:rsidRPr="00493C64">
        <w:rPr>
          <w:sz w:val="24"/>
          <w:szCs w:val="24"/>
        </w:rPr>
        <w:t>None</w:t>
      </w:r>
    </w:p>
    <w:p w:rsidR="002414DA" w:rsidRPr="00493C64" w:rsidRDefault="002414DA" w:rsidP="00A702E4">
      <w:pPr>
        <w:spacing w:after="0" w:line="240" w:lineRule="auto"/>
        <w:rPr>
          <w:sz w:val="20"/>
          <w:szCs w:val="20"/>
        </w:rPr>
      </w:pPr>
    </w:p>
    <w:p w:rsidR="002414DA" w:rsidRPr="00493C64" w:rsidRDefault="002414DA" w:rsidP="00A702E4">
      <w:pPr>
        <w:spacing w:after="0" w:line="240" w:lineRule="auto"/>
        <w:rPr>
          <w:rFonts w:ascii="Verdana" w:eastAsia="Verdana" w:hAnsi="Verdana" w:cs="Verdana"/>
          <w:sz w:val="20"/>
          <w:szCs w:val="20"/>
        </w:rPr>
      </w:pPr>
    </w:p>
    <w:sectPr w:rsidR="002414DA" w:rsidRPr="00493C64">
      <w:pgSz w:w="12240" w:h="15840"/>
      <w:pgMar w:top="148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687"/>
    <w:multiLevelType w:val="hybridMultilevel"/>
    <w:tmpl w:val="AB68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DA"/>
    <w:rsid w:val="00047622"/>
    <w:rsid w:val="000722BF"/>
    <w:rsid w:val="0007489A"/>
    <w:rsid w:val="00076488"/>
    <w:rsid w:val="000C6AC1"/>
    <w:rsid w:val="0018019A"/>
    <w:rsid w:val="001B71E7"/>
    <w:rsid w:val="001E17AF"/>
    <w:rsid w:val="002414DA"/>
    <w:rsid w:val="00247B94"/>
    <w:rsid w:val="00350F53"/>
    <w:rsid w:val="00353F9F"/>
    <w:rsid w:val="003654C7"/>
    <w:rsid w:val="00382EF6"/>
    <w:rsid w:val="004254B9"/>
    <w:rsid w:val="00493C64"/>
    <w:rsid w:val="004E602A"/>
    <w:rsid w:val="0058573B"/>
    <w:rsid w:val="005D6E9B"/>
    <w:rsid w:val="005F01EF"/>
    <w:rsid w:val="0066503D"/>
    <w:rsid w:val="0069737D"/>
    <w:rsid w:val="006F11E9"/>
    <w:rsid w:val="00733D25"/>
    <w:rsid w:val="00767B8E"/>
    <w:rsid w:val="00795275"/>
    <w:rsid w:val="008005D6"/>
    <w:rsid w:val="008401F7"/>
    <w:rsid w:val="008543C1"/>
    <w:rsid w:val="008E2F63"/>
    <w:rsid w:val="00987D97"/>
    <w:rsid w:val="00987DB2"/>
    <w:rsid w:val="009A5F6E"/>
    <w:rsid w:val="009E6BB6"/>
    <w:rsid w:val="009F6A36"/>
    <w:rsid w:val="00A13CD9"/>
    <w:rsid w:val="00A702E4"/>
    <w:rsid w:val="00C54D16"/>
    <w:rsid w:val="00D0341C"/>
    <w:rsid w:val="00D64B36"/>
    <w:rsid w:val="00DB648C"/>
    <w:rsid w:val="00E23DD2"/>
    <w:rsid w:val="00E66EB0"/>
    <w:rsid w:val="00F3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1AE34-AC2D-4026-A562-9F35361F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paragraph" w:styleId="ListParagraph">
    <w:name w:val="List Paragraph"/>
    <w:basedOn w:val="Normal"/>
    <w:uiPriority w:val="34"/>
    <w:qFormat/>
    <w:rsid w:val="000722BF"/>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Amy</cp:lastModifiedBy>
  <cp:revision>2</cp:revision>
  <dcterms:created xsi:type="dcterms:W3CDTF">2016-05-06T15:32:00Z</dcterms:created>
  <dcterms:modified xsi:type="dcterms:W3CDTF">2016-05-06T15:32:00Z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