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17" w:rsidRDefault="00D96DC3" w:rsidP="00635217">
      <w:pPr>
        <w:spacing w:before="2" w:after="0" w:line="120" w:lineRule="exact"/>
        <w:rPr>
          <w:sz w:val="12"/>
          <w:szCs w:val="12"/>
        </w:rPr>
      </w:pPr>
      <w:bookmarkStart w:id="0" w:name="_GoBack"/>
      <w:bookmarkEnd w:id="0"/>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0" t="0" r="1778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558955A"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8" o:title=""/>
                  </v:shape>
                </v:group>
                <w10:wrap anchorx="page" anchory="page"/>
              </v:group>
            </w:pict>
          </mc:Fallback>
        </mc:AlternateConten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FD0055">
        <w:rPr>
          <w:rFonts w:ascii="Verdana" w:eastAsia="Verdana" w:hAnsi="Verdana" w:cs="Verdana"/>
        </w:rPr>
        <w:t>November 21</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CF7BDD" w:rsidRDefault="00CF7BDD" w:rsidP="00635217">
      <w:pPr>
        <w:spacing w:before="21" w:after="0" w:line="240" w:lineRule="auto"/>
        <w:ind w:left="4107" w:right="4107"/>
        <w:jc w:val="center"/>
        <w:rPr>
          <w:rFonts w:ascii="Verdana" w:eastAsia="Verdana" w:hAnsi="Verdana" w:cs="Verdana"/>
          <w:b/>
          <w:bCs/>
          <w:position w:val="-2"/>
          <w:sz w:val="24"/>
          <w:szCs w:val="24"/>
          <w:u w:val="thick" w:color="000000"/>
        </w:rPr>
      </w:pPr>
    </w:p>
    <w:p w:rsidR="005234CC" w:rsidRPr="00C52D63" w:rsidRDefault="005234CC" w:rsidP="005234CC">
      <w:pPr>
        <w:pStyle w:val="NoSpacing"/>
        <w:rPr>
          <w:rStyle w:val="Emphasis"/>
          <w:rFonts w:ascii="Verdana" w:hAnsi="Verdana"/>
          <w:b/>
          <w:i w:val="0"/>
          <w:iCs w:val="0"/>
          <w:caps/>
          <w:kern w:val="36"/>
          <w:sz w:val="22"/>
          <w:szCs w:val="20"/>
          <w:u w:val="thick"/>
        </w:rPr>
      </w:pPr>
      <w:r w:rsidRPr="00C52D63">
        <w:rPr>
          <w:rFonts w:ascii="Verdana" w:hAnsi="Verdana"/>
          <w:b/>
          <w:caps/>
          <w:kern w:val="36"/>
          <w:sz w:val="22"/>
          <w:szCs w:val="20"/>
          <w:u w:val="thick"/>
        </w:rPr>
        <w:t>City Hall Educates Distributors, Retailers On Impending Soda Tax</w:t>
      </w:r>
    </w:p>
    <w:p w:rsidR="005234CC" w:rsidRPr="005234CC" w:rsidRDefault="005234CC" w:rsidP="00D34264">
      <w:pPr>
        <w:pStyle w:val="NoSpacing"/>
        <w:rPr>
          <w:rFonts w:ascii="Verdana" w:hAnsi="Verdana"/>
          <w:sz w:val="20"/>
          <w:szCs w:val="20"/>
        </w:rPr>
      </w:pPr>
      <w:r w:rsidRPr="00C52D63">
        <w:rPr>
          <w:rFonts w:ascii="Verdana" w:hAnsi="Verdana"/>
          <w:sz w:val="20"/>
          <w:szCs w:val="20"/>
        </w:rPr>
        <w:t>The city of Philadelphia received national publicity when it became the first major U.S. city to pass a tax on sugary soft drinks. The 1.5 cents-per-ounce beverage tax is scheduled to be imposed, starting January 1st.</w:t>
      </w:r>
      <w:r>
        <w:rPr>
          <w:rFonts w:ascii="Verdana" w:hAnsi="Verdana"/>
          <w:sz w:val="20"/>
          <w:szCs w:val="20"/>
        </w:rPr>
        <w:t xml:space="preserve"> </w:t>
      </w:r>
      <w:r w:rsidRPr="00C52D63">
        <w:rPr>
          <w:rFonts w:ascii="Verdana" w:hAnsi="Verdana"/>
          <w:sz w:val="20"/>
          <w:szCs w:val="20"/>
        </w:rPr>
        <w:t>Now, City Hall is laying out how distributors should comply.</w:t>
      </w:r>
      <w:r>
        <w:rPr>
          <w:rFonts w:ascii="Verdana" w:hAnsi="Verdana"/>
          <w:sz w:val="20"/>
          <w:szCs w:val="20"/>
        </w:rPr>
        <w:t xml:space="preserve"> </w:t>
      </w:r>
      <w:r w:rsidRPr="00C52D63">
        <w:rPr>
          <w:rFonts w:ascii="Verdana" w:hAnsi="Verdana"/>
          <w:sz w:val="20"/>
          <w:szCs w:val="20"/>
        </w:rPr>
        <w:t xml:space="preserve">Mayor Jim Kenney’s team is reaching out to about 1,000 area distributors on the need to register, adding </w:t>
      </w:r>
      <w:r w:rsidR="003E26DC" w:rsidRPr="00C52D63">
        <w:rPr>
          <w:rFonts w:ascii="Verdana" w:hAnsi="Verdana"/>
          <w:sz w:val="20"/>
          <w:szCs w:val="20"/>
        </w:rPr>
        <w:t>its</w:t>
      </w:r>
      <w:r w:rsidRPr="00C52D63">
        <w:rPr>
          <w:rFonts w:ascii="Verdana" w:hAnsi="Verdana"/>
          <w:sz w:val="20"/>
          <w:szCs w:val="20"/>
        </w:rPr>
        <w:t xml:space="preserve"> mandatory, as the beverage tax will be levied on them</w:t>
      </w:r>
      <w:r>
        <w:rPr>
          <w:rFonts w:ascii="Verdana" w:hAnsi="Verdana"/>
          <w:sz w:val="20"/>
          <w:szCs w:val="20"/>
        </w:rPr>
        <w:t xml:space="preserve">. </w:t>
      </w:r>
      <w:r w:rsidRPr="00C52D63">
        <w:rPr>
          <w:rFonts w:ascii="Verdana" w:hAnsi="Verdana"/>
          <w:sz w:val="20"/>
          <w:szCs w:val="20"/>
        </w:rPr>
        <w:t>Distributors sell wholesale to retailers, including neighborhood grocery or convenience stores and small bodegas, who in turn sell to consumers.</w:t>
      </w:r>
      <w:r>
        <w:rPr>
          <w:rFonts w:ascii="Verdana" w:hAnsi="Verdana"/>
          <w:sz w:val="20"/>
          <w:szCs w:val="20"/>
        </w:rPr>
        <w:t xml:space="preserve"> </w:t>
      </w:r>
      <w:r w:rsidRPr="00C52D63">
        <w:rPr>
          <w:rFonts w:ascii="Verdana" w:hAnsi="Verdana"/>
          <w:sz w:val="20"/>
          <w:szCs w:val="20"/>
        </w:rPr>
        <w:t>Revenue Commissioner Frank Breslin says investigators and auditors will enforce compliance</w:t>
      </w:r>
      <w:r>
        <w:rPr>
          <w:rFonts w:ascii="Verdana" w:hAnsi="Verdana"/>
          <w:sz w:val="20"/>
          <w:szCs w:val="20"/>
        </w:rPr>
        <w:t xml:space="preserve">. </w:t>
      </w:r>
      <w:r w:rsidRPr="00C52D63">
        <w:rPr>
          <w:rFonts w:ascii="Verdana" w:hAnsi="Verdana"/>
          <w:sz w:val="20"/>
          <w:szCs w:val="20"/>
        </w:rPr>
        <w:t>The Mayor says if they are caught buying beverages from a non-registered distributor, they’ll be responsible for a $1,000 fine for each occurrence, plus playing the tax.</w:t>
      </w:r>
      <w:r>
        <w:rPr>
          <w:rFonts w:ascii="Verdana" w:hAnsi="Verdana"/>
          <w:sz w:val="20"/>
          <w:szCs w:val="20"/>
        </w:rPr>
        <w:t xml:space="preserve"> </w:t>
      </w:r>
      <w:r w:rsidRPr="00C52D63">
        <w:rPr>
          <w:rFonts w:ascii="Verdana" w:hAnsi="Verdana"/>
          <w:sz w:val="20"/>
          <w:szCs w:val="20"/>
        </w:rPr>
        <w:t>It will be up to distributors to decide whether to pass along the costs to retailers. It remains unknown how much might be passed on to consumers, but a study of how the soda tax fared in Berkeley California – the first such city ordinance in the country – showed about 50-percent of the cost increase was passed on to consumers.</w:t>
      </w:r>
      <w:r>
        <w:rPr>
          <w:rFonts w:ascii="Verdana" w:hAnsi="Verdana"/>
          <w:sz w:val="20"/>
          <w:szCs w:val="20"/>
        </w:rPr>
        <w:t xml:space="preserve"> </w:t>
      </w:r>
      <w:r w:rsidRPr="00C52D63">
        <w:rPr>
          <w:rFonts w:ascii="Verdana" w:hAnsi="Verdana"/>
          <w:sz w:val="20"/>
          <w:szCs w:val="20"/>
        </w:rPr>
        <w:t>The beverage industry and a coalition of merchants filed a lawsuit to block the soda tax. No court date has been scheduled on the legal challenge.</w:t>
      </w:r>
    </w:p>
    <w:p w:rsidR="00D34264" w:rsidRPr="00D34264" w:rsidRDefault="00D34264" w:rsidP="00D34264">
      <w:pPr>
        <w:pStyle w:val="NoSpacing"/>
        <w:rPr>
          <w:rFonts w:ascii="Verdana" w:hAnsi="Verdana"/>
          <w:b/>
          <w:caps/>
          <w:sz w:val="22"/>
          <w:szCs w:val="20"/>
          <w:u w:val="thick"/>
        </w:rPr>
      </w:pPr>
      <w:r w:rsidRPr="00D34264">
        <w:rPr>
          <w:rFonts w:ascii="Verdana" w:hAnsi="Verdana"/>
          <w:b/>
          <w:caps/>
          <w:sz w:val="22"/>
          <w:szCs w:val="20"/>
          <w:u w:val="thick"/>
          <w:shd w:val="clear" w:color="auto" w:fill="FFFFFF"/>
        </w:rPr>
        <w:t>Governor Wolf Takes Action on Legislation</w:t>
      </w:r>
    </w:p>
    <w:p w:rsidR="00D34264" w:rsidRPr="00D34264" w:rsidRDefault="00D34264" w:rsidP="00D34264">
      <w:pPr>
        <w:pStyle w:val="NoSpacing"/>
        <w:rPr>
          <w:rFonts w:ascii="Verdana" w:hAnsi="Verdana"/>
          <w:sz w:val="20"/>
          <w:szCs w:val="20"/>
        </w:rPr>
      </w:pPr>
      <w:r w:rsidRPr="00D34264">
        <w:rPr>
          <w:rFonts w:ascii="Verdana" w:hAnsi="Verdana"/>
          <w:sz w:val="20"/>
          <w:szCs w:val="20"/>
        </w:rPr>
        <w:t>Monday, Governor Wolf took action on a number of pieces of legislation</w:t>
      </w:r>
      <w:r>
        <w:rPr>
          <w:rFonts w:ascii="Verdana" w:hAnsi="Verdana"/>
          <w:sz w:val="20"/>
          <w:szCs w:val="20"/>
        </w:rPr>
        <w:t>, one of which was HB 2370</w:t>
      </w:r>
      <w:r w:rsidRPr="00D34264">
        <w:rPr>
          <w:rFonts w:ascii="Verdana" w:hAnsi="Verdana"/>
          <w:sz w:val="20"/>
          <w:szCs w:val="20"/>
        </w:rPr>
        <w:t>.</w:t>
      </w:r>
      <w:r>
        <w:rPr>
          <w:rFonts w:ascii="Verdana" w:hAnsi="Verdana"/>
          <w:sz w:val="20"/>
          <w:szCs w:val="20"/>
        </w:rPr>
        <w:t xml:space="preserve"> </w:t>
      </w:r>
      <w:r w:rsidRPr="00D34264">
        <w:rPr>
          <w:rFonts w:ascii="Verdana" w:hAnsi="Verdana"/>
          <w:sz w:val="20"/>
          <w:szCs w:val="20"/>
        </w:rPr>
        <w:t>“Today, I am proud to sign HB 2370 which clarifies the realty transfer tax exemption passed earlier this year for transfers of agriculture conservation easements from farms to certain organizations, and would ensure that it applies to certain transactions that have already taken place” said Governor Tom Wolf. “This will provide much needed tax relief for hundreds of family farms in Pennsylvania.”</w:t>
      </w:r>
    </w:p>
    <w:p w:rsidR="003E26DC" w:rsidRPr="003E26DC" w:rsidRDefault="003E26DC" w:rsidP="003E26DC">
      <w:pPr>
        <w:pStyle w:val="NoSpacing"/>
        <w:rPr>
          <w:rFonts w:ascii="Verdana" w:hAnsi="Verdana"/>
          <w:b/>
          <w:caps/>
          <w:sz w:val="22"/>
          <w:szCs w:val="20"/>
          <w:u w:val="thick"/>
        </w:rPr>
      </w:pPr>
      <w:r w:rsidRPr="003E26DC">
        <w:rPr>
          <w:rFonts w:ascii="Verdana" w:hAnsi="Verdana"/>
          <w:b/>
          <w:caps/>
          <w:sz w:val="22"/>
          <w:szCs w:val="20"/>
          <w:u w:val="thick"/>
        </w:rPr>
        <w:t>Santarsiero Announces Pa.-N.J. Tax Agreement to Remain</w:t>
      </w:r>
    </w:p>
    <w:p w:rsidR="003E26DC" w:rsidRPr="003E26DC" w:rsidRDefault="00143C7B" w:rsidP="003E26DC">
      <w:pPr>
        <w:pStyle w:val="NoSpacing"/>
        <w:rPr>
          <w:rFonts w:ascii="Verdana" w:hAnsi="Verdana"/>
          <w:sz w:val="20"/>
          <w:szCs w:val="20"/>
        </w:rPr>
      </w:pPr>
      <w:r>
        <w:rPr>
          <w:rFonts w:ascii="Verdana" w:hAnsi="Verdana"/>
          <w:sz w:val="20"/>
          <w:szCs w:val="20"/>
        </w:rPr>
        <w:t>New Jersey Gov. Chris Christie</w:t>
      </w:r>
      <w:r w:rsidR="003E26DC" w:rsidRPr="003E26DC">
        <w:rPr>
          <w:rFonts w:ascii="Verdana" w:hAnsi="Verdana"/>
          <w:sz w:val="20"/>
          <w:szCs w:val="20"/>
        </w:rPr>
        <w:t xml:space="preserve"> announce</w:t>
      </w:r>
      <w:r>
        <w:rPr>
          <w:rFonts w:ascii="Verdana" w:hAnsi="Verdana"/>
          <w:sz w:val="20"/>
          <w:szCs w:val="20"/>
        </w:rPr>
        <w:t>d</w:t>
      </w:r>
      <w:r w:rsidR="003E26DC" w:rsidRPr="003E26DC">
        <w:rPr>
          <w:rFonts w:ascii="Verdana" w:hAnsi="Verdana"/>
          <w:sz w:val="20"/>
          <w:szCs w:val="20"/>
        </w:rPr>
        <w:t xml:space="preserve"> </w:t>
      </w:r>
      <w:r>
        <w:rPr>
          <w:rFonts w:ascii="Verdana" w:hAnsi="Verdana"/>
          <w:sz w:val="20"/>
          <w:szCs w:val="20"/>
        </w:rPr>
        <w:t>Tuesday</w:t>
      </w:r>
      <w:r w:rsidR="003E26DC" w:rsidRPr="003E26DC">
        <w:rPr>
          <w:rFonts w:ascii="Verdana" w:hAnsi="Verdana"/>
          <w:sz w:val="20"/>
          <w:szCs w:val="20"/>
        </w:rPr>
        <w:t xml:space="preserve"> that he will maintain a tax reciprocity agreement between his state and Pennsylvania</w:t>
      </w:r>
      <w:r>
        <w:rPr>
          <w:rFonts w:ascii="Verdana" w:hAnsi="Verdana"/>
          <w:sz w:val="20"/>
          <w:szCs w:val="20"/>
        </w:rPr>
        <w:t>, which</w:t>
      </w:r>
      <w:r w:rsidR="003E26DC" w:rsidRPr="003E26DC">
        <w:rPr>
          <w:rFonts w:ascii="Verdana" w:hAnsi="Verdana"/>
          <w:sz w:val="20"/>
          <w:szCs w:val="20"/>
        </w:rPr>
        <w:t xml:space="preserve"> is welcome news to area cross-state commuters, said state Rep. Steve Santarsiero, D-Bucks.</w:t>
      </w:r>
      <w:r w:rsidR="003E26DC">
        <w:rPr>
          <w:rFonts w:ascii="Verdana" w:hAnsi="Verdana"/>
          <w:sz w:val="20"/>
          <w:szCs w:val="20"/>
        </w:rPr>
        <w:t xml:space="preserve"> </w:t>
      </w:r>
      <w:r w:rsidR="003E26DC" w:rsidRPr="003E26DC">
        <w:rPr>
          <w:rFonts w:ascii="Verdana" w:hAnsi="Verdana"/>
          <w:sz w:val="20"/>
          <w:szCs w:val="20"/>
        </w:rPr>
        <w:t>Since July, Santarsiero has worked with legislative offices in both states to dissuade Christie from breaking from a 39-year-old agreement that allows Pennsylvanians who work in New Jersey to pay income taxes in their home state, and vice versa. Santarsiero and other southeastern Pennsylvania legislators circulated a petition, which gathered more than 5,000 signatures.</w:t>
      </w:r>
      <w:r w:rsidR="003E26DC">
        <w:rPr>
          <w:rFonts w:ascii="Verdana" w:hAnsi="Verdana"/>
          <w:sz w:val="20"/>
          <w:szCs w:val="20"/>
        </w:rPr>
        <w:t xml:space="preserve"> </w:t>
      </w:r>
      <w:r w:rsidR="003E26DC" w:rsidRPr="003E26DC">
        <w:rPr>
          <w:rFonts w:ascii="Verdana" w:hAnsi="Verdana"/>
          <w:sz w:val="20"/>
          <w:szCs w:val="20"/>
        </w:rPr>
        <w:t xml:space="preserve">In a news release, Christie said that offsetting savings in New Jersey’s 2017 budget saved the deal. </w:t>
      </w:r>
    </w:p>
    <w:p w:rsidR="00FD0055" w:rsidRPr="00FD0055" w:rsidRDefault="00FD0055" w:rsidP="00FD0055">
      <w:pPr>
        <w:pStyle w:val="NormalWeb"/>
        <w:spacing w:before="0" w:beforeAutospacing="0" w:after="0" w:afterAutospacing="0"/>
        <w:rPr>
          <w:rFonts w:ascii="Verdana" w:hAnsi="Verdana"/>
          <w:caps/>
          <w:color w:val="000000"/>
          <w:sz w:val="22"/>
          <w:szCs w:val="20"/>
          <w:u w:val="thick"/>
        </w:rPr>
      </w:pPr>
      <w:r w:rsidRPr="00FD0055">
        <w:rPr>
          <w:rFonts w:ascii="Verdana" w:hAnsi="Verdana" w:cs="Arial"/>
          <w:b/>
          <w:bCs/>
          <w:caps/>
          <w:color w:val="000000"/>
          <w:sz w:val="22"/>
          <w:szCs w:val="20"/>
          <w:u w:val="thick"/>
        </w:rPr>
        <w:t>Commonwealth Cornerstone Group</w:t>
      </w:r>
      <w:r w:rsidRPr="00FD0055">
        <w:rPr>
          <w:rFonts w:ascii="Verdana" w:hAnsi="Verdana"/>
          <w:caps/>
          <w:color w:val="000000"/>
          <w:sz w:val="22"/>
          <w:szCs w:val="20"/>
          <w:u w:val="thick"/>
        </w:rPr>
        <w:t xml:space="preserve"> </w:t>
      </w:r>
      <w:r w:rsidRPr="00FD0055">
        <w:rPr>
          <w:rFonts w:ascii="Verdana" w:hAnsi="Verdana" w:cs="Arial"/>
          <w:b/>
          <w:bCs/>
          <w:caps/>
          <w:color w:val="000000"/>
          <w:sz w:val="22"/>
          <w:szCs w:val="20"/>
          <w:u w:val="thick"/>
        </w:rPr>
        <w:t>Receives $80 Million of New Markets Tax Credits</w:t>
      </w:r>
    </w:p>
    <w:p w:rsidR="00FD0055" w:rsidRDefault="00FD0055" w:rsidP="00FD0055">
      <w:pPr>
        <w:pStyle w:val="NormalWeb"/>
        <w:shd w:val="clear" w:color="auto" w:fill="FFFFFF"/>
        <w:spacing w:before="0" w:beforeAutospacing="0" w:after="0" w:afterAutospacing="0"/>
        <w:rPr>
          <w:rFonts w:ascii="Verdana" w:hAnsi="Verdana" w:cs="Arial"/>
          <w:i/>
          <w:iCs/>
          <w:color w:val="000000"/>
          <w:sz w:val="20"/>
          <w:szCs w:val="20"/>
        </w:rPr>
      </w:pPr>
    </w:p>
    <w:p w:rsidR="005234CC" w:rsidRPr="00143C7B" w:rsidRDefault="00FD0055" w:rsidP="00143C7B">
      <w:pPr>
        <w:pStyle w:val="NormalWeb"/>
        <w:shd w:val="clear" w:color="auto" w:fill="FFFFFF"/>
        <w:spacing w:before="0" w:beforeAutospacing="0" w:after="0" w:afterAutospacing="0"/>
        <w:rPr>
          <w:rFonts w:ascii="Verdana" w:hAnsi="Verdana"/>
          <w:color w:val="000000"/>
          <w:sz w:val="20"/>
          <w:szCs w:val="20"/>
        </w:rPr>
      </w:pPr>
      <w:r w:rsidRPr="00FD0055">
        <w:rPr>
          <w:rFonts w:ascii="Verdana" w:hAnsi="Verdana" w:cs="Arial"/>
          <w:color w:val="000000"/>
          <w:sz w:val="20"/>
          <w:szCs w:val="20"/>
        </w:rPr>
        <w:t xml:space="preserve">Governor Tom Wolf </w:t>
      </w:r>
      <w:r>
        <w:rPr>
          <w:rFonts w:ascii="Verdana" w:hAnsi="Verdana" w:cs="Arial"/>
          <w:color w:val="000000"/>
          <w:sz w:val="20"/>
          <w:szCs w:val="20"/>
        </w:rPr>
        <w:t>Friday</w:t>
      </w:r>
      <w:r w:rsidRPr="00FD0055">
        <w:rPr>
          <w:rFonts w:ascii="Verdana" w:hAnsi="Verdana" w:cs="Arial"/>
          <w:color w:val="000000"/>
          <w:sz w:val="20"/>
          <w:szCs w:val="20"/>
        </w:rPr>
        <w:t xml:space="preserve"> announced that Commonwealth Cornerstone Group, a nonprofit community development entity (CDE) created by the Pennsylvania Housing Finance Agency, has secured $80 million in New Markets Tax Credit (NMTC) allocations. The tax credits are provided by the U.S. Department of the Treasury’s Community Development Financial Institutions Fund.</w:t>
      </w:r>
      <w:r>
        <w:rPr>
          <w:rFonts w:ascii="Verdana" w:hAnsi="Verdana"/>
          <w:color w:val="000000"/>
          <w:sz w:val="20"/>
          <w:szCs w:val="20"/>
        </w:rPr>
        <w:t xml:space="preserve"> </w:t>
      </w:r>
      <w:r w:rsidRPr="00FD0055">
        <w:rPr>
          <w:rFonts w:ascii="Verdana" w:hAnsi="Verdana" w:cs="Arial"/>
          <w:color w:val="000000"/>
          <w:sz w:val="20"/>
          <w:szCs w:val="20"/>
        </w:rPr>
        <w:t xml:space="preserve">This is the largest single award round since the New Markets Tax Credit Program was created in 2000. CCG is one of 120 community development entities nationwide receiving an allocation of the total $7 billion in New Markets Tax Credits announced by the Treasury Department </w:t>
      </w:r>
      <w:r>
        <w:rPr>
          <w:rFonts w:ascii="Verdana" w:hAnsi="Verdana" w:cs="Arial"/>
          <w:color w:val="000000"/>
          <w:sz w:val="20"/>
          <w:szCs w:val="20"/>
        </w:rPr>
        <w:t>Thursday</w:t>
      </w:r>
      <w:r w:rsidRPr="00FD0055">
        <w:rPr>
          <w:rFonts w:ascii="Verdana" w:hAnsi="Verdana" w:cs="Arial"/>
          <w:color w:val="000000"/>
          <w:sz w:val="20"/>
          <w:szCs w:val="20"/>
        </w:rPr>
        <w:t>. Reflecting the tremendous competition for NMTCs, 238 CDEs had applied for tax credits; only 50 percent of the applicants received funding.</w:t>
      </w:r>
      <w:r>
        <w:rPr>
          <w:rFonts w:ascii="Verdana" w:hAnsi="Verdana"/>
          <w:color w:val="000000"/>
          <w:sz w:val="20"/>
          <w:szCs w:val="20"/>
        </w:rPr>
        <w:t xml:space="preserve"> </w:t>
      </w:r>
      <w:r w:rsidRPr="00FD0055">
        <w:rPr>
          <w:rFonts w:ascii="Verdana" w:hAnsi="Verdana" w:cs="Arial"/>
          <w:color w:val="000000"/>
          <w:sz w:val="20"/>
          <w:szCs w:val="20"/>
        </w:rPr>
        <w:t>With this newest allocation, CCG has received seven NMTC awards totaling $351 million, which it has used to fund 30 projects in the state. These NMTCs have stimulated the creation of more than 5,300 construction jobs and more than 4,200 permanent jobs.</w:t>
      </w:r>
      <w:r>
        <w:rPr>
          <w:rFonts w:ascii="Verdana" w:hAnsi="Verdana"/>
          <w:color w:val="000000"/>
          <w:sz w:val="20"/>
          <w:szCs w:val="20"/>
        </w:rPr>
        <w:t xml:space="preserve"> </w:t>
      </w:r>
      <w:r w:rsidRPr="00FD0055">
        <w:rPr>
          <w:rFonts w:ascii="Verdana" w:hAnsi="Verdana" w:cs="Arial"/>
          <w:color w:val="000000"/>
          <w:sz w:val="20"/>
          <w:szCs w:val="20"/>
        </w:rPr>
        <w:t xml:space="preserve">The New Markets Tax Credit Program, established by Congress in December 2000, permits </w:t>
      </w:r>
      <w:r w:rsidRPr="00FD0055">
        <w:rPr>
          <w:rFonts w:ascii="Verdana" w:hAnsi="Verdana" w:cs="Arial"/>
          <w:color w:val="000000"/>
          <w:sz w:val="20"/>
          <w:szCs w:val="20"/>
        </w:rPr>
        <w:lastRenderedPageBreak/>
        <w:t>individual and corporate taxpayers to receive a non-refundable tax credit against federal income taxes for making equity investments in vehicles known as community development entities. CDEs that receive the tax credit allocation authority under the program are domestic corporations or partnerships that provide loans, investments, or financial counseling in low-income urban and rural communities.</w:t>
      </w:r>
    </w:p>
    <w:p w:rsidR="001814ED" w:rsidRPr="001814ED" w:rsidRDefault="001814ED" w:rsidP="001814ED">
      <w:pPr>
        <w:pStyle w:val="NoSpacing"/>
        <w:rPr>
          <w:rFonts w:ascii="Verdana" w:hAnsi="Verdana"/>
          <w:b/>
          <w:caps/>
          <w:sz w:val="22"/>
          <w:szCs w:val="20"/>
          <w:u w:val="thick"/>
        </w:rPr>
      </w:pPr>
      <w:r w:rsidRPr="001814ED">
        <w:rPr>
          <w:rFonts w:ascii="Verdana" w:hAnsi="Verdana"/>
          <w:b/>
          <w:caps/>
          <w:sz w:val="22"/>
          <w:szCs w:val="20"/>
          <w:u w:val="thick"/>
        </w:rPr>
        <w:t>PA Unemployment Rate at 5.8% in October</w:t>
      </w:r>
    </w:p>
    <w:p w:rsidR="001814ED" w:rsidRPr="005234CC" w:rsidRDefault="001814ED" w:rsidP="005234CC">
      <w:pPr>
        <w:pStyle w:val="NoSpacing"/>
        <w:rPr>
          <w:rFonts w:ascii="Verdana" w:hAnsi="Verdana"/>
          <w:sz w:val="20"/>
          <w:szCs w:val="20"/>
        </w:rPr>
      </w:pPr>
      <w:r w:rsidRPr="001814ED">
        <w:rPr>
          <w:rFonts w:ascii="Verdana" w:hAnsi="Verdana"/>
          <w:sz w:val="20"/>
          <w:szCs w:val="20"/>
        </w:rPr>
        <w:t>Friday, the Pennsylvania Department of Labor &amp; Industry released its employment situation report for October 2016. Pennsylvania's unemployment rate was up one-tenth of a percentage point from September to 5.8 percent. Pennsylvania's civilian labor force was up 8,000 from September to 6,531,000. Resident employment increased by 3,000 while the unemployment count rose 5,000. Total nonfarm jobs declined 1,800 to 5,900,400 in October. Jobs in seven of the 11</w:t>
      </w:r>
      <w:r w:rsidRPr="001814ED">
        <w:rPr>
          <w:rStyle w:val="apple-converted-space"/>
          <w:rFonts w:ascii="Verdana" w:hAnsi="Verdana"/>
          <w:color w:val="000000"/>
          <w:sz w:val="20"/>
          <w:szCs w:val="20"/>
        </w:rPr>
        <w:t> </w:t>
      </w:r>
      <w:r w:rsidRPr="001814ED">
        <w:rPr>
          <w:rStyle w:val="spelle"/>
          <w:rFonts w:ascii="Verdana" w:hAnsi="Verdana"/>
          <w:color w:val="000000"/>
          <w:sz w:val="20"/>
          <w:szCs w:val="20"/>
        </w:rPr>
        <w:t>supersectors</w:t>
      </w:r>
      <w:r w:rsidRPr="001814ED">
        <w:rPr>
          <w:rStyle w:val="apple-converted-space"/>
          <w:rFonts w:ascii="Verdana" w:hAnsi="Verdana"/>
          <w:color w:val="000000"/>
          <w:sz w:val="20"/>
          <w:szCs w:val="20"/>
        </w:rPr>
        <w:t> </w:t>
      </w:r>
      <w:r w:rsidRPr="001814ED">
        <w:rPr>
          <w:rFonts w:ascii="Verdana" w:hAnsi="Verdana"/>
          <w:sz w:val="20"/>
          <w:szCs w:val="20"/>
        </w:rPr>
        <w:t>were down from September. The largest movement among</w:t>
      </w:r>
      <w:r w:rsidRPr="001814ED">
        <w:rPr>
          <w:rStyle w:val="apple-converted-space"/>
          <w:rFonts w:ascii="Verdana" w:hAnsi="Verdana"/>
          <w:color w:val="000000"/>
          <w:sz w:val="20"/>
          <w:szCs w:val="20"/>
        </w:rPr>
        <w:t> </w:t>
      </w:r>
      <w:r w:rsidRPr="001814ED">
        <w:rPr>
          <w:rStyle w:val="spelle"/>
          <w:rFonts w:ascii="Verdana" w:hAnsi="Verdana"/>
          <w:color w:val="000000"/>
          <w:sz w:val="20"/>
          <w:szCs w:val="20"/>
        </w:rPr>
        <w:t>supersectors</w:t>
      </w:r>
      <w:r>
        <w:rPr>
          <w:rStyle w:val="spelle"/>
          <w:rFonts w:ascii="Verdana" w:hAnsi="Verdana"/>
          <w:color w:val="000000"/>
          <w:sz w:val="20"/>
          <w:szCs w:val="20"/>
        </w:rPr>
        <w:t xml:space="preserve"> </w:t>
      </w:r>
      <w:r w:rsidRPr="001814ED">
        <w:rPr>
          <w:rFonts w:ascii="Verdana" w:hAnsi="Verdana"/>
          <w:sz w:val="20"/>
          <w:szCs w:val="20"/>
        </w:rPr>
        <w:t>was a gain of 2,500 leisure &amp; hospitality jobs, which reached a record high of 563,500. Professional &amp; business services had the largest drop in October, down 2,000 from September's record high level. The September nonfarm jobs count was revised upward by 7,000 to 5,902,200 jobs, the highest count on record. Over the year, total nonfarm jobs in Pennsylvania were up 38,400 (+0.7%). Eight of the 11</w:t>
      </w:r>
      <w:r w:rsidRPr="001814ED">
        <w:rPr>
          <w:rStyle w:val="apple-converted-space"/>
          <w:rFonts w:ascii="Verdana" w:hAnsi="Verdana"/>
          <w:color w:val="000000"/>
          <w:sz w:val="20"/>
          <w:szCs w:val="20"/>
        </w:rPr>
        <w:t> </w:t>
      </w:r>
      <w:r w:rsidRPr="001814ED">
        <w:rPr>
          <w:rStyle w:val="spelle"/>
          <w:rFonts w:ascii="Verdana" w:hAnsi="Verdana"/>
          <w:color w:val="000000"/>
          <w:sz w:val="20"/>
          <w:szCs w:val="20"/>
        </w:rPr>
        <w:t>supersectors</w:t>
      </w:r>
      <w:r w:rsidRPr="001814ED">
        <w:rPr>
          <w:rStyle w:val="apple-converted-space"/>
          <w:rFonts w:ascii="Verdana" w:hAnsi="Verdana"/>
          <w:color w:val="000000"/>
          <w:sz w:val="20"/>
          <w:szCs w:val="20"/>
        </w:rPr>
        <w:t> </w:t>
      </w:r>
      <w:r w:rsidRPr="001814ED">
        <w:rPr>
          <w:rFonts w:ascii="Verdana" w:hAnsi="Verdana"/>
          <w:sz w:val="20"/>
          <w:szCs w:val="20"/>
        </w:rPr>
        <w:t>added jobs from last September. The largest increase over the past twelve months was in education &amp; health services (+17,700), while the largest decline was in mining &amp; logging (-6,800).</w:t>
      </w: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D34264" w:rsidRPr="00D34264" w:rsidRDefault="00D34264" w:rsidP="00D34264">
      <w:pPr>
        <w:pStyle w:val="NoSpacing"/>
        <w:spacing w:before="0" w:beforeAutospacing="0" w:after="0" w:afterAutospacing="0"/>
        <w:rPr>
          <w:rFonts w:ascii="Verdana" w:hAnsi="Verdana"/>
          <w:b/>
          <w:color w:val="000000"/>
          <w:sz w:val="20"/>
          <w:szCs w:val="20"/>
        </w:rPr>
      </w:pPr>
      <w:r w:rsidRPr="00D34264">
        <w:rPr>
          <w:rFonts w:ascii="Verdana" w:hAnsi="Verdana"/>
          <w:b/>
          <w:bCs/>
          <w:color w:val="000000"/>
          <w:sz w:val="20"/>
          <w:szCs w:val="20"/>
        </w:rPr>
        <w:t>2017 SENATE SESSION SCHEDULE</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u w:val="single"/>
        </w:rPr>
        <w:t>January</w:t>
      </w:r>
      <w:r w:rsidRPr="00D34264">
        <w:rPr>
          <w:rFonts w:ascii="Verdana" w:hAnsi="Verdana"/>
          <w:b/>
          <w:bCs/>
          <w:color w:val="000000"/>
          <w:sz w:val="20"/>
          <w:szCs w:val="20"/>
        </w:rPr>
        <w:t>         </w:t>
      </w:r>
      <w:r w:rsidRPr="00D34264">
        <w:rPr>
          <w:rStyle w:val="apple-converted-space"/>
          <w:rFonts w:ascii="Verdana" w:hAnsi="Verdana"/>
          <w:b/>
          <w:bCs/>
          <w:color w:val="000000"/>
          <w:sz w:val="20"/>
          <w:szCs w:val="20"/>
        </w:rPr>
        <w:t> </w:t>
      </w:r>
      <w:r w:rsidRPr="00D34264">
        <w:rPr>
          <w:rFonts w:ascii="Verdana" w:hAnsi="Verdana"/>
          <w:bCs/>
          <w:color w:val="000000"/>
          <w:sz w:val="20"/>
          <w:szCs w:val="20"/>
        </w:rPr>
        <w:t>3, 23, 24, 25, 30, 31</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u w:val="single"/>
        </w:rPr>
        <w:t>February</w:t>
      </w:r>
      <w:r w:rsidRPr="00D34264">
        <w:rPr>
          <w:rFonts w:ascii="Verdana" w:hAnsi="Verdana"/>
          <w:b/>
          <w:bCs/>
          <w:color w:val="000000"/>
          <w:sz w:val="20"/>
          <w:szCs w:val="20"/>
        </w:rPr>
        <w:t>        </w:t>
      </w:r>
      <w:r w:rsidRPr="00D34264">
        <w:rPr>
          <w:rFonts w:ascii="Verdana" w:hAnsi="Verdana"/>
          <w:bCs/>
          <w:color w:val="000000"/>
          <w:sz w:val="20"/>
          <w:szCs w:val="20"/>
        </w:rPr>
        <w:t>1, 6, 7, 8</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u w:val="single"/>
        </w:rPr>
        <w:t>March</w:t>
      </w:r>
      <w:r w:rsidRPr="00D34264">
        <w:rPr>
          <w:rFonts w:ascii="Verdana" w:hAnsi="Verdana"/>
          <w:b/>
          <w:bCs/>
          <w:color w:val="000000"/>
          <w:sz w:val="20"/>
          <w:szCs w:val="20"/>
        </w:rPr>
        <w:t>            </w:t>
      </w:r>
      <w:r w:rsidRPr="00D34264">
        <w:rPr>
          <w:rStyle w:val="apple-converted-space"/>
          <w:rFonts w:ascii="Verdana" w:hAnsi="Verdana"/>
          <w:b/>
          <w:bCs/>
          <w:color w:val="000000"/>
          <w:sz w:val="20"/>
          <w:szCs w:val="20"/>
        </w:rPr>
        <w:t> </w:t>
      </w:r>
      <w:r w:rsidRPr="00D34264">
        <w:rPr>
          <w:rFonts w:ascii="Verdana" w:hAnsi="Verdana"/>
          <w:bCs/>
          <w:color w:val="000000"/>
          <w:sz w:val="20"/>
          <w:szCs w:val="20"/>
        </w:rPr>
        <w:t>20, 21, 22, 27, 28, 29</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u w:val="single"/>
        </w:rPr>
        <w:t>April</w:t>
      </w:r>
      <w:r w:rsidRPr="00D34264">
        <w:rPr>
          <w:rFonts w:ascii="Verdana" w:hAnsi="Verdana"/>
          <w:b/>
          <w:bCs/>
          <w:color w:val="000000"/>
          <w:sz w:val="20"/>
          <w:szCs w:val="20"/>
        </w:rPr>
        <w:t>               </w:t>
      </w:r>
      <w:r w:rsidRPr="00D34264">
        <w:rPr>
          <w:rFonts w:ascii="Verdana" w:hAnsi="Verdana"/>
          <w:bCs/>
          <w:color w:val="000000"/>
          <w:sz w:val="20"/>
          <w:szCs w:val="20"/>
        </w:rPr>
        <w:t>17, 18, 19, 24, 25, 26</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u w:val="single"/>
        </w:rPr>
        <w:t>May</w:t>
      </w:r>
      <w:r w:rsidRPr="00D34264">
        <w:rPr>
          <w:rFonts w:ascii="Verdana" w:hAnsi="Verdana"/>
          <w:b/>
          <w:bCs/>
          <w:color w:val="000000"/>
          <w:sz w:val="20"/>
          <w:szCs w:val="20"/>
        </w:rPr>
        <w:t>               </w:t>
      </w:r>
      <w:r w:rsidRPr="00D34264">
        <w:rPr>
          <w:rStyle w:val="apple-converted-space"/>
          <w:rFonts w:ascii="Verdana" w:hAnsi="Verdana"/>
          <w:b/>
          <w:bCs/>
          <w:color w:val="000000"/>
          <w:sz w:val="20"/>
          <w:szCs w:val="20"/>
        </w:rPr>
        <w:t> </w:t>
      </w:r>
      <w:r w:rsidRPr="00D34264">
        <w:rPr>
          <w:rFonts w:ascii="Verdana" w:hAnsi="Verdana"/>
          <w:bCs/>
          <w:color w:val="000000"/>
          <w:sz w:val="20"/>
          <w:szCs w:val="20"/>
        </w:rPr>
        <w:t>8, 9, 10, 22, 23, 24</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u w:val="single"/>
        </w:rPr>
        <w:t>June</w:t>
      </w:r>
      <w:r w:rsidRPr="00D34264">
        <w:rPr>
          <w:rFonts w:ascii="Verdana" w:hAnsi="Verdana"/>
          <w:b/>
          <w:bCs/>
          <w:color w:val="000000"/>
          <w:sz w:val="20"/>
          <w:szCs w:val="20"/>
        </w:rPr>
        <w:t>               </w:t>
      </w:r>
      <w:r w:rsidRPr="00D34264">
        <w:rPr>
          <w:rFonts w:ascii="Verdana" w:hAnsi="Verdana"/>
          <w:bCs/>
          <w:color w:val="000000"/>
          <w:sz w:val="20"/>
          <w:szCs w:val="20"/>
        </w:rPr>
        <w:t>5, 6, 7, 12, 13, 14, 19, 20, 21, 22, 26, 27, 28, 29, 30</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4A61A3" w:rsidP="00B7758B">
      <w:pPr>
        <w:pStyle w:val="NoSpacing"/>
        <w:spacing w:before="0" w:beforeAutospacing="0" w:after="0" w:afterAutospacing="0"/>
        <w:rPr>
          <w:rFonts w:ascii="Verdana" w:hAnsi="Verdana"/>
          <w:b/>
          <w:sz w:val="18"/>
          <w:szCs w:val="22"/>
        </w:rPr>
      </w:pPr>
      <w:r>
        <w:rPr>
          <w:rFonts w:ascii="Verdana" w:hAnsi="Verdana"/>
          <w:b/>
          <w:sz w:val="20"/>
        </w:rPr>
        <w:t>2017</w:t>
      </w:r>
      <w:r w:rsidR="00B7758B" w:rsidRPr="006054DC">
        <w:rPr>
          <w:rFonts w:ascii="Verdana" w:hAnsi="Verdana"/>
          <w:b/>
          <w:sz w:val="20"/>
        </w:rPr>
        <w:t xml:space="preserve"> HOUSE SESSION SCHEDULE</w:t>
      </w:r>
    </w:p>
    <w:p w:rsidR="00FA06A2" w:rsidRPr="00FA06A2" w:rsidRDefault="00B7758B" w:rsidP="00FA06A2">
      <w:pPr>
        <w:pStyle w:val="NoSpacing"/>
        <w:spacing w:before="0" w:beforeAutospacing="0" w:after="0" w:afterAutospacing="0"/>
        <w:rPr>
          <w:rFonts w:ascii="Verdana" w:hAnsi="Verdana"/>
          <w:sz w:val="18"/>
          <w:szCs w:val="22"/>
        </w:rPr>
      </w:pPr>
      <w:r w:rsidRPr="006054DC">
        <w:rPr>
          <w:rFonts w:ascii="Verdana" w:hAnsi="Verdana"/>
          <w:sz w:val="20"/>
        </w:rPr>
        <w:t> </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u w:val="single"/>
        </w:rPr>
        <w:t>January</w:t>
      </w:r>
      <w:r w:rsidRPr="00FA06A2">
        <w:rPr>
          <w:rFonts w:ascii="Verdana" w:hAnsi="Verdana"/>
          <w:b/>
          <w:bCs/>
          <w:color w:val="000000"/>
          <w:sz w:val="20"/>
        </w:rPr>
        <w:t>         </w:t>
      </w:r>
      <w:r w:rsidRPr="00FA06A2">
        <w:rPr>
          <w:rStyle w:val="apple-converted-space"/>
          <w:rFonts w:ascii="Verdana" w:hAnsi="Verdana"/>
          <w:b/>
          <w:bCs/>
          <w:color w:val="000000"/>
          <w:sz w:val="20"/>
        </w:rPr>
        <w:t> </w:t>
      </w:r>
      <w:r w:rsidRPr="00FA06A2">
        <w:rPr>
          <w:rFonts w:ascii="Verdana" w:hAnsi="Verdana"/>
          <w:bCs/>
          <w:color w:val="000000"/>
          <w:sz w:val="20"/>
        </w:rPr>
        <w:t>3, 23, 24, 25</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rPr>
        <w:t> </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u w:val="single"/>
        </w:rPr>
        <w:t>February</w:t>
      </w:r>
      <w:r w:rsidRPr="00FA06A2">
        <w:rPr>
          <w:rFonts w:ascii="Verdana" w:hAnsi="Verdana"/>
          <w:b/>
          <w:bCs/>
          <w:color w:val="000000"/>
          <w:sz w:val="20"/>
        </w:rPr>
        <w:t>        </w:t>
      </w:r>
      <w:r w:rsidRPr="00FA06A2">
        <w:rPr>
          <w:rFonts w:ascii="Verdana" w:hAnsi="Verdana"/>
          <w:bCs/>
          <w:color w:val="000000"/>
          <w:sz w:val="20"/>
        </w:rPr>
        <w:t>6, 7, 8</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rPr>
        <w:t> </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u w:val="single"/>
        </w:rPr>
        <w:t>March</w:t>
      </w:r>
      <w:r w:rsidRPr="00FA06A2">
        <w:rPr>
          <w:rFonts w:ascii="Verdana" w:hAnsi="Verdana"/>
          <w:b/>
          <w:bCs/>
          <w:color w:val="000000"/>
          <w:sz w:val="20"/>
        </w:rPr>
        <w:t>            </w:t>
      </w:r>
      <w:r w:rsidRPr="00FA06A2">
        <w:rPr>
          <w:rFonts w:ascii="Verdana" w:hAnsi="Verdana"/>
          <w:bCs/>
          <w:color w:val="000000"/>
          <w:sz w:val="20"/>
        </w:rPr>
        <w:t>13, 14, 15, 20, 21, 22</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rPr>
        <w:t> </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u w:val="single"/>
        </w:rPr>
        <w:t>April</w:t>
      </w:r>
      <w:r w:rsidRPr="00FA06A2">
        <w:rPr>
          <w:rFonts w:ascii="Verdana" w:hAnsi="Verdana"/>
          <w:b/>
          <w:bCs/>
          <w:color w:val="000000"/>
          <w:sz w:val="20"/>
        </w:rPr>
        <w:t>               </w:t>
      </w:r>
      <w:r w:rsidRPr="00FA06A2">
        <w:rPr>
          <w:rFonts w:ascii="Verdana" w:hAnsi="Verdana"/>
          <w:bCs/>
          <w:color w:val="000000"/>
          <w:sz w:val="20"/>
        </w:rPr>
        <w:t>3, 4, 5, 18, 19, 24, 25, 26</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rPr>
        <w:t> </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u w:val="single"/>
        </w:rPr>
        <w:t>May</w:t>
      </w:r>
      <w:r w:rsidRPr="00FA06A2">
        <w:rPr>
          <w:rFonts w:ascii="Verdana" w:hAnsi="Verdana"/>
          <w:b/>
          <w:bCs/>
          <w:color w:val="000000"/>
          <w:sz w:val="20"/>
        </w:rPr>
        <w:t>               </w:t>
      </w:r>
      <w:r w:rsidRPr="00FA06A2">
        <w:rPr>
          <w:rStyle w:val="apple-converted-space"/>
          <w:rFonts w:ascii="Verdana" w:hAnsi="Verdana"/>
          <w:b/>
          <w:bCs/>
          <w:color w:val="000000"/>
          <w:sz w:val="20"/>
        </w:rPr>
        <w:t> </w:t>
      </w:r>
      <w:r w:rsidRPr="00FA06A2">
        <w:rPr>
          <w:rFonts w:ascii="Verdana" w:hAnsi="Verdana"/>
          <w:bCs/>
          <w:color w:val="000000"/>
          <w:sz w:val="20"/>
        </w:rPr>
        <w:t>8, 9, 10, 22, 23, 24</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rPr>
        <w:t> </w:t>
      </w:r>
    </w:p>
    <w:p w:rsidR="00FA06A2" w:rsidRPr="00FA06A2" w:rsidRDefault="00FA06A2" w:rsidP="00FA06A2">
      <w:pPr>
        <w:pStyle w:val="NoSpacing"/>
        <w:spacing w:before="0" w:beforeAutospacing="0" w:after="0" w:afterAutospacing="0"/>
        <w:rPr>
          <w:rFonts w:ascii="Verdana" w:hAnsi="Verdana"/>
          <w:color w:val="000000"/>
          <w:sz w:val="18"/>
          <w:szCs w:val="22"/>
        </w:rPr>
      </w:pPr>
      <w:r w:rsidRPr="00FA06A2">
        <w:rPr>
          <w:rFonts w:ascii="Verdana" w:hAnsi="Verdana"/>
          <w:b/>
          <w:bCs/>
          <w:color w:val="000000"/>
          <w:sz w:val="20"/>
          <w:u w:val="single"/>
        </w:rPr>
        <w:t>June</w:t>
      </w:r>
      <w:r w:rsidRPr="00FA06A2">
        <w:rPr>
          <w:rFonts w:ascii="Verdana" w:hAnsi="Verdana"/>
          <w:b/>
          <w:bCs/>
          <w:color w:val="000000"/>
          <w:sz w:val="20"/>
        </w:rPr>
        <w:t>               </w:t>
      </w:r>
      <w:r w:rsidRPr="00FA06A2">
        <w:rPr>
          <w:rFonts w:ascii="Verdana" w:hAnsi="Verdana"/>
          <w:bCs/>
          <w:color w:val="000000"/>
          <w:sz w:val="20"/>
        </w:rPr>
        <w:t>5, 6, 7, 12, 13, 14, 19, 20, 21, 22, 26, 27, 28, 29, 30</w:t>
      </w:r>
    </w:p>
    <w:p w:rsidR="00C52D63" w:rsidRPr="004A61A3" w:rsidRDefault="00C52D63" w:rsidP="008703AE">
      <w:pPr>
        <w:pStyle w:val="NoSpacing"/>
        <w:spacing w:before="0" w:beforeAutospacing="0" w:after="0" w:afterAutospacing="0"/>
        <w:rPr>
          <w:rFonts w:ascii="Verdana" w:hAnsi="Verdana"/>
          <w:bCs/>
          <w:sz w:val="20"/>
        </w:rPr>
      </w:pPr>
    </w:p>
    <w:p w:rsidR="004A61A3" w:rsidRDefault="004A61A3" w:rsidP="00023E77">
      <w:pPr>
        <w:spacing w:after="0" w:line="240" w:lineRule="auto"/>
        <w:rPr>
          <w:rFonts w:ascii="Verdana" w:eastAsia="Verdana" w:hAnsi="Verdana" w:cs="Verdana"/>
          <w:b/>
          <w:bCs/>
          <w:position w:val="-2"/>
          <w:u w:val="thick" w:color="000000"/>
        </w:rPr>
      </w:pPr>
    </w:p>
    <w:p w:rsidR="00143C7B" w:rsidRDefault="00143C7B" w:rsidP="00023E77">
      <w:pPr>
        <w:spacing w:after="0" w:line="240" w:lineRule="auto"/>
        <w:rPr>
          <w:rFonts w:ascii="Verdana" w:eastAsia="Verdana" w:hAnsi="Verdana" w:cs="Verdana"/>
          <w:b/>
          <w:bCs/>
          <w:position w:val="-2"/>
          <w:u w:val="thick" w:color="000000"/>
        </w:rPr>
      </w:pPr>
    </w:p>
    <w:p w:rsidR="00143C7B" w:rsidRDefault="00143C7B" w:rsidP="00023E77">
      <w:pPr>
        <w:spacing w:after="0" w:line="240" w:lineRule="auto"/>
        <w:rPr>
          <w:rFonts w:ascii="Verdana" w:eastAsia="Verdana" w:hAnsi="Verdana" w:cs="Verdana"/>
          <w:b/>
          <w:bCs/>
          <w:position w:val="-2"/>
          <w:u w:val="thick" w:color="000000"/>
        </w:rPr>
      </w:pPr>
    </w:p>
    <w:p w:rsidR="00143C7B" w:rsidRDefault="00143C7B" w:rsidP="00023E77">
      <w:pPr>
        <w:spacing w:after="0" w:line="240" w:lineRule="auto"/>
        <w:rPr>
          <w:rFonts w:ascii="Verdana" w:eastAsia="Verdana" w:hAnsi="Verdana" w:cs="Verdana"/>
          <w:b/>
          <w:bCs/>
          <w:position w:val="-2"/>
          <w:u w:val="thick" w:color="000000"/>
        </w:rPr>
      </w:pPr>
    </w:p>
    <w:p w:rsidR="00143C7B" w:rsidRDefault="00143C7B" w:rsidP="00023E77">
      <w:pPr>
        <w:spacing w:after="0" w:line="240" w:lineRule="auto"/>
        <w:rPr>
          <w:rFonts w:ascii="Verdana" w:eastAsia="Verdana" w:hAnsi="Verdana" w:cs="Verdana"/>
          <w:b/>
          <w:bCs/>
          <w:position w:val="-2"/>
          <w:u w:val="thick" w:color="000000"/>
        </w:rPr>
      </w:pPr>
    </w:p>
    <w:p w:rsidR="00143C7B" w:rsidRDefault="00143C7B" w:rsidP="00023E77">
      <w:pPr>
        <w:spacing w:after="0" w:line="240" w:lineRule="auto"/>
        <w:rPr>
          <w:rFonts w:ascii="Verdana" w:eastAsia="Verdana" w:hAnsi="Verdana" w:cs="Verdana"/>
          <w:b/>
          <w:bCs/>
          <w:position w:val="-2"/>
          <w:u w:val="thick" w:color="000000"/>
        </w:rPr>
      </w:pPr>
    </w:p>
    <w:p w:rsidR="00023E77" w:rsidRDefault="00DA105A" w:rsidP="00023E77">
      <w:pPr>
        <w:spacing w:after="0" w:line="240" w:lineRule="auto"/>
        <w:rPr>
          <w:rStyle w:val="Strong"/>
          <w:rFonts w:ascii="Verdana" w:eastAsia="Verdana" w:hAnsi="Verdana" w:cs="Verdana"/>
          <w:position w:val="-2"/>
          <w:u w:val="thick" w:color="000000"/>
        </w:rPr>
      </w:pPr>
      <w:r w:rsidRPr="006054DC">
        <w:rPr>
          <w:rFonts w:ascii="Verdana" w:eastAsia="Verdana" w:hAnsi="Verdana" w:cs="Verdana"/>
          <w:b/>
          <w:bCs/>
          <w:position w:val="-2"/>
          <w:u w:val="thick" w:color="000000"/>
        </w:rPr>
        <w:t>DEPARTMENT OF REVENUE UPDATE</w:t>
      </w:r>
    </w:p>
    <w:p w:rsidR="005234CC" w:rsidRPr="00E215FD" w:rsidRDefault="005234CC" w:rsidP="005234CC">
      <w:pPr>
        <w:pStyle w:val="NoSpacing"/>
        <w:rPr>
          <w:rFonts w:ascii="Verdana" w:hAnsi="Verdana"/>
          <w:sz w:val="20"/>
          <w:szCs w:val="20"/>
        </w:rPr>
      </w:pPr>
      <w:r w:rsidRPr="00E215FD">
        <w:rPr>
          <w:rStyle w:val="Strong"/>
          <w:rFonts w:ascii="Verdana" w:hAnsi="Verdana" w:cs="Arial"/>
          <w:color w:val="333333"/>
          <w:sz w:val="20"/>
          <w:szCs w:val="20"/>
        </w:rPr>
        <w:t>Holiday Visits are Ideal Time to Discuss the Property Tax/Rent Rebate Program as the Deadline Approaches</w:t>
      </w:r>
    </w:p>
    <w:p w:rsidR="005234CC" w:rsidRPr="005234CC" w:rsidRDefault="005234CC" w:rsidP="005234CC">
      <w:pPr>
        <w:pStyle w:val="NoSpacing"/>
        <w:rPr>
          <w:rFonts w:ascii="Verdana" w:hAnsi="Verdana"/>
          <w:sz w:val="20"/>
          <w:szCs w:val="20"/>
        </w:rPr>
      </w:pPr>
      <w:r w:rsidRPr="005234CC">
        <w:rPr>
          <w:rFonts w:ascii="Verdana" w:hAnsi="Verdana"/>
          <w:sz w:val="20"/>
          <w:szCs w:val="20"/>
        </w:rPr>
        <w:t>Holiday season visits provide a great opportunity to remind older family members and friends about the Property Tax/Rent Program, one of the Pennsylvania Lottery’s key benefit programs for older adults.</w:t>
      </w:r>
      <w:r>
        <w:rPr>
          <w:rFonts w:ascii="Verdana" w:hAnsi="Verdana"/>
          <w:sz w:val="20"/>
          <w:szCs w:val="20"/>
        </w:rPr>
        <w:t xml:space="preserve"> </w:t>
      </w:r>
      <w:r w:rsidRPr="005234CC">
        <w:rPr>
          <w:rFonts w:ascii="Verdana" w:hAnsi="Verdana"/>
          <w:sz w:val="20"/>
          <w:szCs w:val="20"/>
        </w:rPr>
        <w:t>Earlier this year the Department of Revenue extended the application deadline to December 31, 2016, the date by which applications must be postmarked. The program provides rebates of up to $975 on property tax or rent paid during 2015. It costs nothing to apply for a rebate.</w:t>
      </w:r>
      <w:r>
        <w:rPr>
          <w:rFonts w:ascii="Verdana" w:hAnsi="Verdana"/>
          <w:sz w:val="20"/>
          <w:szCs w:val="20"/>
        </w:rPr>
        <w:t xml:space="preserve"> </w:t>
      </w:r>
      <w:r w:rsidRPr="005234CC">
        <w:rPr>
          <w:rFonts w:ascii="Verdana" w:hAnsi="Verdana"/>
          <w:sz w:val="20"/>
          <w:szCs w:val="20"/>
        </w:rPr>
        <w:t>“Holiday gatherings are a great opportunity to remind family and friends to apply for a rebate on their property taxes or rent before the upcoming deadline,” said Secretary of Revenue Eileen McNulty. “The Property Tax/Rent Rebate Program helps more than half-a-million Pennsylvanians save money. The deadline is quickly approaching so I encourage all of those eligible to apply.</w:t>
      </w:r>
      <w:r>
        <w:rPr>
          <w:rFonts w:ascii="Verdana" w:hAnsi="Verdana"/>
          <w:sz w:val="20"/>
          <w:szCs w:val="20"/>
        </w:rPr>
        <w:t xml:space="preserve"> </w:t>
      </w:r>
      <w:r w:rsidRPr="005234CC">
        <w:rPr>
          <w:rFonts w:ascii="Verdana" w:hAnsi="Verdana"/>
          <w:sz w:val="20"/>
          <w:szCs w:val="20"/>
        </w:rPr>
        <w:t>”Applications and free filing help is available at hundreds of locations across the state, including Department of Revenue district offices, local Area Agencies on Aging, senior centers and state legislators’ offices. Property Tax/Rent Rebate claim forms (PA-1000) and information are also available online at</w:t>
      </w:r>
      <w:r w:rsidRPr="005234CC">
        <w:rPr>
          <w:rStyle w:val="apple-converted-space"/>
          <w:rFonts w:ascii="Verdana" w:hAnsi="Verdana" w:cs="Arial"/>
          <w:color w:val="333333"/>
          <w:sz w:val="20"/>
          <w:szCs w:val="20"/>
        </w:rPr>
        <w:t> </w:t>
      </w:r>
      <w:hyperlink r:id="rId9" w:history="1">
        <w:r w:rsidRPr="005234CC">
          <w:rPr>
            <w:rStyle w:val="Hyperlink"/>
            <w:rFonts w:ascii="Verdana" w:hAnsi="Verdana" w:cs="Arial"/>
            <w:color w:val="1175CA"/>
            <w:sz w:val="20"/>
            <w:szCs w:val="20"/>
          </w:rPr>
          <w:t>www.revenue.pa.gov</w:t>
        </w:r>
      </w:hyperlink>
      <w:r w:rsidRPr="005234CC">
        <w:rPr>
          <w:rStyle w:val="apple-converted-space"/>
          <w:rFonts w:ascii="Verdana" w:hAnsi="Verdana" w:cs="Arial"/>
          <w:color w:val="333333"/>
          <w:sz w:val="20"/>
          <w:szCs w:val="20"/>
        </w:rPr>
        <w:t> </w:t>
      </w:r>
      <w:r w:rsidRPr="005234CC">
        <w:rPr>
          <w:rFonts w:ascii="Verdana" w:hAnsi="Verdana"/>
          <w:sz w:val="20"/>
          <w:szCs w:val="20"/>
        </w:rPr>
        <w:t>and by calling, toll free, 1-888-222-9190, between 7:30 a.m. and 5 p.m., Monday through Friday.</w:t>
      </w:r>
      <w:r>
        <w:rPr>
          <w:rFonts w:ascii="Verdana" w:hAnsi="Verdana"/>
          <w:sz w:val="20"/>
          <w:szCs w:val="20"/>
        </w:rPr>
        <w:t xml:space="preserve"> </w:t>
      </w:r>
      <w:r w:rsidRPr="005234CC">
        <w:rPr>
          <w:rFonts w:ascii="Verdana" w:hAnsi="Verdana"/>
          <w:sz w:val="20"/>
          <w:szCs w:val="20"/>
        </w:rPr>
        <w:t>To speed processing, claimants are reminded to provide all required income, property tax or rent information.</w:t>
      </w:r>
      <w:r>
        <w:rPr>
          <w:rFonts w:ascii="Verdana" w:hAnsi="Verdana"/>
          <w:sz w:val="20"/>
          <w:szCs w:val="20"/>
        </w:rPr>
        <w:t xml:space="preserve"> </w:t>
      </w:r>
      <w:r w:rsidRPr="005234CC">
        <w:rPr>
          <w:rFonts w:ascii="Verdana" w:hAnsi="Verdana"/>
          <w:sz w:val="20"/>
          <w:szCs w:val="20"/>
        </w:rPr>
        <w:t>Last year, more than 565,000 households received more than $269 million in rebates. So far this year, more than 566,000 households have applied for rebates. As of mid-November, rebates totaling $257.1 million have been sent to more than 540,000 homeowners and renters.</w:t>
      </w:r>
    </w:p>
    <w:p w:rsidR="005234CC" w:rsidRPr="00C80813" w:rsidRDefault="005234CC" w:rsidP="005234CC">
      <w:pPr>
        <w:pStyle w:val="NoSpacing"/>
        <w:rPr>
          <w:rFonts w:ascii="Verdana" w:hAnsi="Verdana"/>
          <w:sz w:val="20"/>
          <w:szCs w:val="20"/>
        </w:rPr>
      </w:pPr>
      <w:r w:rsidRPr="00C80813">
        <w:rPr>
          <w:rStyle w:val="Strong"/>
          <w:rFonts w:ascii="Verdana" w:hAnsi="Verdana" w:cs="Arial"/>
          <w:color w:val="333333"/>
          <w:sz w:val="20"/>
          <w:szCs w:val="20"/>
        </w:rPr>
        <w:t>About the Property Tax/Rent Rebate Program</w:t>
      </w:r>
      <w:r w:rsidRPr="00C80813">
        <w:rPr>
          <w:rFonts w:ascii="Verdana" w:hAnsi="Verdana"/>
          <w:sz w:val="20"/>
          <w:szCs w:val="20"/>
        </w:rPr>
        <w:t>:</w:t>
      </w:r>
    </w:p>
    <w:p w:rsidR="005234CC" w:rsidRPr="005234CC" w:rsidRDefault="005234CC" w:rsidP="005234CC">
      <w:pPr>
        <w:pStyle w:val="NoSpacing"/>
        <w:rPr>
          <w:rStyle w:val="Strong"/>
          <w:rFonts w:ascii="Verdana" w:hAnsi="Verdana"/>
          <w:b w:val="0"/>
          <w:bCs w:val="0"/>
          <w:sz w:val="20"/>
          <w:szCs w:val="20"/>
        </w:rPr>
      </w:pPr>
      <w:r w:rsidRPr="005234CC">
        <w:rPr>
          <w:rFonts w:ascii="Verdana" w:hAnsi="Verdana"/>
          <w:sz w:val="20"/>
          <w:szCs w:val="20"/>
        </w:rPr>
        <w:t>The Property Tax and Rent Rebate Program benefits eligible Pennsylvanians age 65 and older; widows and widowers age 50 and older; and people with disabilities age 18 and older. The income limit is $35,000 a year for homeowners and $15,000 annually for renters. Half of Social Security income is excluded. Spouses, personal representatives or estates may also file rebate claims on behalf of claimants who lived at least one day in 2015 and meet all other eligibility criteria.</w:t>
      </w:r>
      <w:r>
        <w:rPr>
          <w:rFonts w:ascii="Verdana" w:hAnsi="Verdana"/>
          <w:sz w:val="20"/>
          <w:szCs w:val="20"/>
        </w:rPr>
        <w:t xml:space="preserve"> </w:t>
      </w:r>
      <w:r w:rsidRPr="005234CC">
        <w:rPr>
          <w:rFonts w:ascii="Verdana" w:hAnsi="Verdana"/>
          <w:sz w:val="20"/>
          <w:szCs w:val="20"/>
        </w:rPr>
        <w:t>The maximum standard rebate is $650, but supplemental rebates for qualifying homeowners can boost rebates to $975. The department automatically calculates supplemental rebates for qualifying homeowners.</w:t>
      </w:r>
      <w:r>
        <w:rPr>
          <w:rFonts w:ascii="Verdana" w:hAnsi="Verdana"/>
          <w:sz w:val="20"/>
          <w:szCs w:val="20"/>
        </w:rPr>
        <w:t xml:space="preserve"> </w:t>
      </w:r>
      <w:r w:rsidRPr="005234CC">
        <w:rPr>
          <w:rFonts w:ascii="Verdana" w:hAnsi="Verdana"/>
          <w:sz w:val="20"/>
          <w:szCs w:val="20"/>
        </w:rPr>
        <w:t>Some applicants who previously received rebates may continue to qualify despite Social Security cost-of-living adjustments that may have pushed their income past the eligibility limits. This is explained in the instructions for the claim form.</w:t>
      </w:r>
      <w:r>
        <w:rPr>
          <w:rFonts w:ascii="Verdana" w:hAnsi="Verdana"/>
          <w:sz w:val="20"/>
          <w:szCs w:val="20"/>
        </w:rPr>
        <w:t xml:space="preserve"> </w:t>
      </w:r>
      <w:r w:rsidRPr="005234CC">
        <w:rPr>
          <w:rFonts w:ascii="Verdana" w:hAnsi="Verdana"/>
          <w:sz w:val="20"/>
          <w:szCs w:val="20"/>
        </w:rPr>
        <w:t>The Property Tax/Rent Rebate Program is one of five programs supported by the Pennsylvania Lottery. Since the program’s 1971 inception, older and disabled adults have received more than $6.1 billion in property tax and rent relief. The expanded portion of the rebate program is paid for with revenue from slots gaming.</w:t>
      </w:r>
    </w:p>
    <w:p w:rsidR="008E73A9" w:rsidRPr="00253C50" w:rsidRDefault="00635217" w:rsidP="000C6D28">
      <w:pPr>
        <w:rPr>
          <w:rFonts w:ascii="Verdana" w:eastAsia="Verdana" w:hAnsi="Verdana" w:cs="Verdana"/>
          <w:b/>
          <w:bCs/>
          <w:spacing w:val="1"/>
          <w:position w:val="-1"/>
          <w:sz w:val="20"/>
          <w:szCs w:val="20"/>
          <w:u w:val="thick" w:color="000000"/>
        </w:rPr>
      </w:pPr>
      <w:r w:rsidRPr="006054DC">
        <w:rPr>
          <w:rFonts w:ascii="Verdana" w:eastAsia="Verdana" w:hAnsi="Verdana" w:cs="Verdana"/>
          <w:b/>
          <w:bCs/>
          <w:spacing w:val="1"/>
          <w:position w:val="-1"/>
          <w:u w:val="thick" w:color="000000"/>
        </w:rPr>
        <w:t>IRRC UPDATES</w:t>
      </w:r>
    </w:p>
    <w:p w:rsidR="00D34264" w:rsidRPr="00D34264" w:rsidRDefault="00D34264" w:rsidP="00D34264">
      <w:pPr>
        <w:pStyle w:val="NoSpacing"/>
        <w:rPr>
          <w:rFonts w:ascii="Verdana" w:hAnsi="Verdana"/>
          <w:sz w:val="20"/>
          <w:szCs w:val="20"/>
        </w:rPr>
      </w:pPr>
      <w:r w:rsidRPr="00D34264">
        <w:rPr>
          <w:rFonts w:ascii="Verdana" w:hAnsi="Verdana"/>
          <w:sz w:val="20"/>
          <w:szCs w:val="20"/>
          <w:u w:val="single"/>
        </w:rPr>
        <w:t>3129 Insurance Department #11-254</w:t>
      </w:r>
      <w:r w:rsidRPr="00D34264">
        <w:rPr>
          <w:rFonts w:ascii="Verdana" w:hAnsi="Verdana"/>
          <w:sz w:val="20"/>
          <w:szCs w:val="20"/>
        </w:rPr>
        <w:t>: Annual Financial Reporting Requirements. The regulation was unanimously</w:t>
      </w:r>
      <w:r w:rsidRPr="00D34264">
        <w:rPr>
          <w:rStyle w:val="apple-converted-space"/>
          <w:rFonts w:ascii="Verdana" w:hAnsi="Verdana" w:cs="Arial"/>
          <w:color w:val="000000"/>
          <w:sz w:val="20"/>
          <w:szCs w:val="20"/>
        </w:rPr>
        <w:t> </w:t>
      </w:r>
      <w:r w:rsidRPr="00D34264">
        <w:rPr>
          <w:rFonts w:ascii="Verdana" w:hAnsi="Verdana"/>
          <w:b/>
          <w:bCs/>
          <w:sz w:val="20"/>
          <w:szCs w:val="20"/>
        </w:rPr>
        <w:t>approved</w:t>
      </w:r>
      <w:r w:rsidRPr="00D34264">
        <w:rPr>
          <w:rFonts w:ascii="Verdana" w:hAnsi="Verdana"/>
          <w:sz w:val="20"/>
          <w:szCs w:val="20"/>
        </w:rPr>
        <w:t>.</w:t>
      </w:r>
    </w:p>
    <w:p w:rsidR="00D34264" w:rsidRPr="00D34264" w:rsidRDefault="0087225B" w:rsidP="00D34264">
      <w:pPr>
        <w:pStyle w:val="NoSpacing"/>
        <w:rPr>
          <w:rFonts w:ascii="Verdana" w:hAnsi="Verdana"/>
          <w:sz w:val="20"/>
          <w:szCs w:val="20"/>
        </w:rPr>
      </w:pPr>
      <w:r>
        <w:rPr>
          <w:rFonts w:ascii="Verdana" w:hAnsi="Verdana" w:cs="Arial"/>
          <w:color w:val="000000"/>
          <w:sz w:val="20"/>
          <w:shd w:val="clear" w:color="auto" w:fill="FFFFFF"/>
        </w:rPr>
        <w:t>This</w:t>
      </w:r>
      <w:r w:rsidR="00D34264" w:rsidRPr="00D34264">
        <w:rPr>
          <w:rFonts w:ascii="Verdana" w:hAnsi="Verdana"/>
          <w:sz w:val="20"/>
          <w:szCs w:val="20"/>
        </w:rPr>
        <w:t xml:space="preserve"> regulation updates the Certified Public Accountant (CPA) audit rule by adding corporate government's related functions to the audit committe</w:t>
      </w:r>
      <w:r>
        <w:rPr>
          <w:rFonts w:ascii="Verdana" w:hAnsi="Verdana"/>
          <w:sz w:val="20"/>
          <w:szCs w:val="20"/>
        </w:rPr>
        <w:t>e's responsibilities. T</w:t>
      </w:r>
      <w:r w:rsidR="00D34264" w:rsidRPr="00D34264">
        <w:rPr>
          <w:rFonts w:ascii="Verdana" w:hAnsi="Verdana"/>
          <w:sz w:val="20"/>
          <w:szCs w:val="20"/>
        </w:rPr>
        <w:t>he chapter requires annual audits of their yearend statutory financi</w:t>
      </w:r>
      <w:r>
        <w:rPr>
          <w:rFonts w:ascii="Verdana" w:hAnsi="Verdana"/>
          <w:sz w:val="20"/>
          <w:szCs w:val="20"/>
        </w:rPr>
        <w:t>al</w:t>
      </w:r>
      <w:r w:rsidR="00D34264" w:rsidRPr="00D34264">
        <w:rPr>
          <w:rFonts w:ascii="Verdana" w:hAnsi="Verdana"/>
          <w:sz w:val="20"/>
          <w:szCs w:val="20"/>
        </w:rPr>
        <w:t xml:space="preserve"> statements performed by an independent CPA. </w:t>
      </w:r>
    </w:p>
    <w:p w:rsidR="002B51AE" w:rsidRPr="002B51AE" w:rsidRDefault="002B51AE" w:rsidP="00D34264">
      <w:pPr>
        <w:rPr>
          <w:rFonts w:ascii="Verdana" w:eastAsia="Verdana" w:hAnsi="Verdana" w:cs="Verdana"/>
          <w:spacing w:val="1"/>
          <w:position w:val="-1"/>
          <w:sz w:val="20"/>
          <w:szCs w:val="20"/>
        </w:rPr>
      </w:pPr>
    </w:p>
    <w:sectPr w:rsidR="002B51AE" w:rsidRPr="002B51AE" w:rsidSect="00170164">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C4" w:rsidRDefault="00E841C4" w:rsidP="002B51AE">
      <w:pPr>
        <w:spacing w:after="0" w:line="240" w:lineRule="auto"/>
      </w:pPr>
      <w:r>
        <w:separator/>
      </w:r>
    </w:p>
  </w:endnote>
  <w:endnote w:type="continuationSeparator" w:id="0">
    <w:p w:rsidR="00E841C4" w:rsidRDefault="00E841C4"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C4" w:rsidRDefault="00E841C4" w:rsidP="002B51AE">
      <w:pPr>
        <w:spacing w:after="0" w:line="240" w:lineRule="auto"/>
      </w:pPr>
      <w:r>
        <w:separator/>
      </w:r>
    </w:p>
  </w:footnote>
  <w:footnote w:type="continuationSeparator" w:id="0">
    <w:p w:rsidR="00E841C4" w:rsidRDefault="00E841C4" w:rsidP="002B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B17"/>
    <w:multiLevelType w:val="multilevel"/>
    <w:tmpl w:val="CFF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A70D0"/>
    <w:multiLevelType w:val="multilevel"/>
    <w:tmpl w:val="68A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876A2"/>
    <w:multiLevelType w:val="multilevel"/>
    <w:tmpl w:val="D34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15DE6"/>
    <w:multiLevelType w:val="multilevel"/>
    <w:tmpl w:val="1A1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A515C"/>
    <w:multiLevelType w:val="multilevel"/>
    <w:tmpl w:val="FFE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E4C82"/>
    <w:multiLevelType w:val="multilevel"/>
    <w:tmpl w:val="C8F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2684D"/>
    <w:multiLevelType w:val="multilevel"/>
    <w:tmpl w:val="35D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30CFF"/>
    <w:multiLevelType w:val="multilevel"/>
    <w:tmpl w:val="AF7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F3EBB"/>
    <w:multiLevelType w:val="multilevel"/>
    <w:tmpl w:val="B6E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E649F"/>
    <w:multiLevelType w:val="multilevel"/>
    <w:tmpl w:val="DAB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81B25"/>
    <w:multiLevelType w:val="multilevel"/>
    <w:tmpl w:val="399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E599C"/>
    <w:multiLevelType w:val="multilevel"/>
    <w:tmpl w:val="07E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07936"/>
    <w:multiLevelType w:val="multilevel"/>
    <w:tmpl w:val="A3F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3179C"/>
    <w:multiLevelType w:val="multilevel"/>
    <w:tmpl w:val="D4D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A3C4F"/>
    <w:multiLevelType w:val="multilevel"/>
    <w:tmpl w:val="D55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12AE0"/>
    <w:multiLevelType w:val="multilevel"/>
    <w:tmpl w:val="0B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63985"/>
    <w:multiLevelType w:val="multilevel"/>
    <w:tmpl w:val="BBF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B4AE3"/>
    <w:multiLevelType w:val="multilevel"/>
    <w:tmpl w:val="728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1160F"/>
    <w:multiLevelType w:val="multilevel"/>
    <w:tmpl w:val="EA7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42947"/>
    <w:multiLevelType w:val="multilevel"/>
    <w:tmpl w:val="8C7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63B3D"/>
    <w:multiLevelType w:val="multilevel"/>
    <w:tmpl w:val="CC4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14"/>
  </w:num>
  <w:num w:numId="5">
    <w:abstractNumId w:val="9"/>
  </w:num>
  <w:num w:numId="6">
    <w:abstractNumId w:val="5"/>
  </w:num>
  <w:num w:numId="7">
    <w:abstractNumId w:val="16"/>
  </w:num>
  <w:num w:numId="8">
    <w:abstractNumId w:val="0"/>
  </w:num>
  <w:num w:numId="9">
    <w:abstractNumId w:val="18"/>
  </w:num>
  <w:num w:numId="10">
    <w:abstractNumId w:val="20"/>
  </w:num>
  <w:num w:numId="11">
    <w:abstractNumId w:val="1"/>
  </w:num>
  <w:num w:numId="12">
    <w:abstractNumId w:val="15"/>
  </w:num>
  <w:num w:numId="13">
    <w:abstractNumId w:val="13"/>
  </w:num>
  <w:num w:numId="14">
    <w:abstractNumId w:val="3"/>
  </w:num>
  <w:num w:numId="15">
    <w:abstractNumId w:val="17"/>
  </w:num>
  <w:num w:numId="16">
    <w:abstractNumId w:val="19"/>
  </w:num>
  <w:num w:numId="17">
    <w:abstractNumId w:val="8"/>
  </w:num>
  <w:num w:numId="18">
    <w:abstractNumId w:val="4"/>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17"/>
    <w:rsid w:val="00002F3A"/>
    <w:rsid w:val="000235F5"/>
    <w:rsid w:val="00023E77"/>
    <w:rsid w:val="0004173E"/>
    <w:rsid w:val="000526EF"/>
    <w:rsid w:val="000545CB"/>
    <w:rsid w:val="00055920"/>
    <w:rsid w:val="00076A8D"/>
    <w:rsid w:val="000976A0"/>
    <w:rsid w:val="00097B14"/>
    <w:rsid w:val="000B586C"/>
    <w:rsid w:val="000C299A"/>
    <w:rsid w:val="000C6D28"/>
    <w:rsid w:val="000D2B73"/>
    <w:rsid w:val="000D6B5C"/>
    <w:rsid w:val="000E6245"/>
    <w:rsid w:val="001118ED"/>
    <w:rsid w:val="00121446"/>
    <w:rsid w:val="00131054"/>
    <w:rsid w:val="00140CAD"/>
    <w:rsid w:val="00143C7B"/>
    <w:rsid w:val="00154145"/>
    <w:rsid w:val="00166BA1"/>
    <w:rsid w:val="00170164"/>
    <w:rsid w:val="001814ED"/>
    <w:rsid w:val="00194B7E"/>
    <w:rsid w:val="001A20BE"/>
    <w:rsid w:val="001B45A5"/>
    <w:rsid w:val="001F09DC"/>
    <w:rsid w:val="001F7154"/>
    <w:rsid w:val="00200FC9"/>
    <w:rsid w:val="00203B66"/>
    <w:rsid w:val="00215A27"/>
    <w:rsid w:val="00224F38"/>
    <w:rsid w:val="00253C50"/>
    <w:rsid w:val="00294A45"/>
    <w:rsid w:val="002A0C88"/>
    <w:rsid w:val="002B2E82"/>
    <w:rsid w:val="002B51AE"/>
    <w:rsid w:val="002C4E76"/>
    <w:rsid w:val="002C5C57"/>
    <w:rsid w:val="002E52C0"/>
    <w:rsid w:val="003055C5"/>
    <w:rsid w:val="00314A81"/>
    <w:rsid w:val="00370CDE"/>
    <w:rsid w:val="00384891"/>
    <w:rsid w:val="0038781F"/>
    <w:rsid w:val="00396C70"/>
    <w:rsid w:val="003A1F7B"/>
    <w:rsid w:val="003B0F23"/>
    <w:rsid w:val="003C2D1A"/>
    <w:rsid w:val="003C4813"/>
    <w:rsid w:val="003D37AD"/>
    <w:rsid w:val="003D6151"/>
    <w:rsid w:val="003D68F9"/>
    <w:rsid w:val="003E26DC"/>
    <w:rsid w:val="003E34D4"/>
    <w:rsid w:val="003F3712"/>
    <w:rsid w:val="003F4495"/>
    <w:rsid w:val="003F6092"/>
    <w:rsid w:val="003F6EBE"/>
    <w:rsid w:val="004076EC"/>
    <w:rsid w:val="00423337"/>
    <w:rsid w:val="00431319"/>
    <w:rsid w:val="00453855"/>
    <w:rsid w:val="0045613B"/>
    <w:rsid w:val="00460389"/>
    <w:rsid w:val="004A61A3"/>
    <w:rsid w:val="004A6F3A"/>
    <w:rsid w:val="004C2E6B"/>
    <w:rsid w:val="004D7543"/>
    <w:rsid w:val="004F2B0F"/>
    <w:rsid w:val="00504AFB"/>
    <w:rsid w:val="00507EF9"/>
    <w:rsid w:val="005140EA"/>
    <w:rsid w:val="005234CC"/>
    <w:rsid w:val="005274EB"/>
    <w:rsid w:val="00540CE3"/>
    <w:rsid w:val="00542F04"/>
    <w:rsid w:val="00583F40"/>
    <w:rsid w:val="005A0096"/>
    <w:rsid w:val="005A1AC3"/>
    <w:rsid w:val="005E523D"/>
    <w:rsid w:val="005F4EB3"/>
    <w:rsid w:val="005F7B72"/>
    <w:rsid w:val="006054DC"/>
    <w:rsid w:val="006060B4"/>
    <w:rsid w:val="00611C1D"/>
    <w:rsid w:val="00613A99"/>
    <w:rsid w:val="00621AE5"/>
    <w:rsid w:val="006315D4"/>
    <w:rsid w:val="00635217"/>
    <w:rsid w:val="00635A5D"/>
    <w:rsid w:val="006441F3"/>
    <w:rsid w:val="00653B95"/>
    <w:rsid w:val="00653F60"/>
    <w:rsid w:val="006773A8"/>
    <w:rsid w:val="00685B03"/>
    <w:rsid w:val="00691EB4"/>
    <w:rsid w:val="006B3CC4"/>
    <w:rsid w:val="006C179B"/>
    <w:rsid w:val="006E09BB"/>
    <w:rsid w:val="006E29C7"/>
    <w:rsid w:val="006F1322"/>
    <w:rsid w:val="00707FAE"/>
    <w:rsid w:val="00716337"/>
    <w:rsid w:val="00724EF4"/>
    <w:rsid w:val="007279A6"/>
    <w:rsid w:val="00733ED1"/>
    <w:rsid w:val="007437CB"/>
    <w:rsid w:val="0075375B"/>
    <w:rsid w:val="00767437"/>
    <w:rsid w:val="00784AC2"/>
    <w:rsid w:val="007B1A09"/>
    <w:rsid w:val="007D4B0C"/>
    <w:rsid w:val="00800329"/>
    <w:rsid w:val="008041E8"/>
    <w:rsid w:val="00805121"/>
    <w:rsid w:val="008162EB"/>
    <w:rsid w:val="0086034E"/>
    <w:rsid w:val="00865117"/>
    <w:rsid w:val="008703AE"/>
    <w:rsid w:val="0087225B"/>
    <w:rsid w:val="00874C40"/>
    <w:rsid w:val="008823BF"/>
    <w:rsid w:val="008A4209"/>
    <w:rsid w:val="008B3A44"/>
    <w:rsid w:val="008B4BEE"/>
    <w:rsid w:val="008C6D93"/>
    <w:rsid w:val="008D37BC"/>
    <w:rsid w:val="008D4EE7"/>
    <w:rsid w:val="008E58C1"/>
    <w:rsid w:val="008E6CF4"/>
    <w:rsid w:val="008E73A9"/>
    <w:rsid w:val="008F1FE5"/>
    <w:rsid w:val="008F7D42"/>
    <w:rsid w:val="00903938"/>
    <w:rsid w:val="00903E3A"/>
    <w:rsid w:val="009100A9"/>
    <w:rsid w:val="0091435A"/>
    <w:rsid w:val="009202BD"/>
    <w:rsid w:val="00922116"/>
    <w:rsid w:val="00946814"/>
    <w:rsid w:val="0096653C"/>
    <w:rsid w:val="0097620F"/>
    <w:rsid w:val="009922E3"/>
    <w:rsid w:val="009B7612"/>
    <w:rsid w:val="009B789B"/>
    <w:rsid w:val="009C0B75"/>
    <w:rsid w:val="00A00BAA"/>
    <w:rsid w:val="00A12F53"/>
    <w:rsid w:val="00A24E4A"/>
    <w:rsid w:val="00A24FFA"/>
    <w:rsid w:val="00A27E6A"/>
    <w:rsid w:val="00A30093"/>
    <w:rsid w:val="00A406DA"/>
    <w:rsid w:val="00A43531"/>
    <w:rsid w:val="00A61A2D"/>
    <w:rsid w:val="00A8258F"/>
    <w:rsid w:val="00AA2C7C"/>
    <w:rsid w:val="00AC17C7"/>
    <w:rsid w:val="00AE1D7F"/>
    <w:rsid w:val="00AE4E07"/>
    <w:rsid w:val="00AF0759"/>
    <w:rsid w:val="00B069A2"/>
    <w:rsid w:val="00B125E8"/>
    <w:rsid w:val="00B17156"/>
    <w:rsid w:val="00B17C0E"/>
    <w:rsid w:val="00B409D4"/>
    <w:rsid w:val="00B4665E"/>
    <w:rsid w:val="00B46F68"/>
    <w:rsid w:val="00B5082F"/>
    <w:rsid w:val="00B619CB"/>
    <w:rsid w:val="00B61E2C"/>
    <w:rsid w:val="00B66085"/>
    <w:rsid w:val="00B7758B"/>
    <w:rsid w:val="00B83B8B"/>
    <w:rsid w:val="00B86F19"/>
    <w:rsid w:val="00B916B0"/>
    <w:rsid w:val="00B93874"/>
    <w:rsid w:val="00B94767"/>
    <w:rsid w:val="00B94988"/>
    <w:rsid w:val="00B96711"/>
    <w:rsid w:val="00BA6EDF"/>
    <w:rsid w:val="00BA7D7F"/>
    <w:rsid w:val="00BB062C"/>
    <w:rsid w:val="00BB67AD"/>
    <w:rsid w:val="00BB7266"/>
    <w:rsid w:val="00BC55D6"/>
    <w:rsid w:val="00BE0E0C"/>
    <w:rsid w:val="00BE3A84"/>
    <w:rsid w:val="00BE61E4"/>
    <w:rsid w:val="00BE6BEC"/>
    <w:rsid w:val="00BE7EEB"/>
    <w:rsid w:val="00C45D89"/>
    <w:rsid w:val="00C52D63"/>
    <w:rsid w:val="00C80813"/>
    <w:rsid w:val="00C82D24"/>
    <w:rsid w:val="00CB7FA3"/>
    <w:rsid w:val="00CC6B4B"/>
    <w:rsid w:val="00CD4B38"/>
    <w:rsid w:val="00CF7BDD"/>
    <w:rsid w:val="00D000F7"/>
    <w:rsid w:val="00D02190"/>
    <w:rsid w:val="00D34264"/>
    <w:rsid w:val="00D354DA"/>
    <w:rsid w:val="00D40818"/>
    <w:rsid w:val="00D54E03"/>
    <w:rsid w:val="00D61E8F"/>
    <w:rsid w:val="00D654C2"/>
    <w:rsid w:val="00D8383A"/>
    <w:rsid w:val="00D96204"/>
    <w:rsid w:val="00D96DC3"/>
    <w:rsid w:val="00DA105A"/>
    <w:rsid w:val="00DB4F85"/>
    <w:rsid w:val="00DC7092"/>
    <w:rsid w:val="00DD16BF"/>
    <w:rsid w:val="00DE7606"/>
    <w:rsid w:val="00DF4D53"/>
    <w:rsid w:val="00E007A7"/>
    <w:rsid w:val="00E02EC9"/>
    <w:rsid w:val="00E149F3"/>
    <w:rsid w:val="00E215FD"/>
    <w:rsid w:val="00E4221B"/>
    <w:rsid w:val="00E45A4F"/>
    <w:rsid w:val="00E74A40"/>
    <w:rsid w:val="00E841C4"/>
    <w:rsid w:val="00E9028F"/>
    <w:rsid w:val="00E942E2"/>
    <w:rsid w:val="00E95F2F"/>
    <w:rsid w:val="00E961DF"/>
    <w:rsid w:val="00E9762A"/>
    <w:rsid w:val="00EC1064"/>
    <w:rsid w:val="00ED2E57"/>
    <w:rsid w:val="00ED4304"/>
    <w:rsid w:val="00ED5690"/>
    <w:rsid w:val="00F706E2"/>
    <w:rsid w:val="00F916EE"/>
    <w:rsid w:val="00F92081"/>
    <w:rsid w:val="00F97DE1"/>
    <w:rsid w:val="00FA06A2"/>
    <w:rsid w:val="00FC0351"/>
    <w:rsid w:val="00FC3883"/>
    <w:rsid w:val="00FD0055"/>
    <w:rsid w:val="00FD37F2"/>
    <w:rsid w:val="00FE39E3"/>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D021504-4E86-4402-B929-FCF4F3B5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928032733">
                      <w:marLeft w:val="0"/>
                      <w:marRight w:val="0"/>
                      <w:marTop w:val="0"/>
                      <w:marBottom w:val="0"/>
                      <w:divBdr>
                        <w:top w:val="none" w:sz="0" w:space="0" w:color="auto"/>
                        <w:left w:val="none" w:sz="0" w:space="0" w:color="auto"/>
                        <w:bottom w:val="none" w:sz="0" w:space="0" w:color="auto"/>
                        <w:right w:val="none" w:sz="0" w:space="0" w:color="auto"/>
                      </w:divBdr>
                    </w:div>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845704794">
                  <w:marLeft w:val="0"/>
                  <w:marRight w:val="0"/>
                  <w:marTop w:val="0"/>
                  <w:marBottom w:val="0"/>
                  <w:divBdr>
                    <w:top w:val="none" w:sz="0" w:space="0" w:color="auto"/>
                    <w:left w:val="none" w:sz="0" w:space="0" w:color="auto"/>
                    <w:bottom w:val="none" w:sz="0" w:space="0" w:color="auto"/>
                    <w:right w:val="none" w:sz="0" w:space="0" w:color="auto"/>
                  </w:divBdr>
                  <w:divsChild>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1020280210">
                              <w:marLeft w:val="0"/>
                              <w:marRight w:val="0"/>
                              <w:marTop w:val="0"/>
                              <w:marBottom w:val="0"/>
                              <w:divBdr>
                                <w:top w:val="none" w:sz="0" w:space="0" w:color="auto"/>
                                <w:left w:val="none" w:sz="0" w:space="0" w:color="auto"/>
                                <w:bottom w:val="none" w:sz="0" w:space="0" w:color="auto"/>
                                <w:right w:val="none" w:sz="0" w:space="0" w:color="auto"/>
                              </w:divBdr>
                            </w:div>
                            <w:div w:id="783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1950116510">
                                  <w:marLeft w:val="0"/>
                                  <w:marRight w:val="0"/>
                                  <w:marTop w:val="0"/>
                                  <w:marBottom w:val="0"/>
                                  <w:divBdr>
                                    <w:top w:val="none" w:sz="0" w:space="0" w:color="auto"/>
                                    <w:left w:val="none" w:sz="0" w:space="0" w:color="auto"/>
                                    <w:bottom w:val="none" w:sz="0" w:space="0" w:color="auto"/>
                                    <w:right w:val="none" w:sz="0" w:space="0" w:color="auto"/>
                                  </w:divBdr>
                                  <w:divsChild>
                                    <w:div w:id="1080634276">
                                      <w:marLeft w:val="0"/>
                                      <w:marRight w:val="0"/>
                                      <w:marTop w:val="0"/>
                                      <w:marBottom w:val="0"/>
                                      <w:divBdr>
                                        <w:top w:val="none" w:sz="0" w:space="0" w:color="auto"/>
                                        <w:left w:val="none" w:sz="0" w:space="0" w:color="auto"/>
                                        <w:bottom w:val="none" w:sz="0" w:space="0" w:color="auto"/>
                                        <w:right w:val="none" w:sz="0" w:space="0" w:color="auto"/>
                                      </w:divBdr>
                                    </w:div>
                                    <w:div w:id="906231854">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2087459828">
                                      <w:marLeft w:val="0"/>
                                      <w:marRight w:val="0"/>
                                      <w:marTop w:val="0"/>
                                      <w:marBottom w:val="0"/>
                                      <w:divBdr>
                                        <w:top w:val="none" w:sz="0" w:space="0" w:color="auto"/>
                                        <w:left w:val="none" w:sz="0" w:space="0" w:color="auto"/>
                                        <w:bottom w:val="none" w:sz="0" w:space="0" w:color="auto"/>
                                        <w:right w:val="none" w:sz="0" w:space="0" w:color="auto"/>
                                      </w:divBdr>
                                    </w:div>
                                    <w:div w:id="1654528476">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143498854">
          <w:marLeft w:val="0"/>
          <w:marRight w:val="0"/>
          <w:marTop w:val="0"/>
          <w:marBottom w:val="0"/>
          <w:divBdr>
            <w:top w:val="none" w:sz="0" w:space="0" w:color="auto"/>
            <w:left w:val="none" w:sz="0" w:space="0" w:color="auto"/>
            <w:bottom w:val="none" w:sz="0" w:space="0" w:color="auto"/>
            <w:right w:val="none" w:sz="0" w:space="0" w:color="auto"/>
          </w:divBdr>
        </w:div>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2104648314">
                      <w:marLeft w:val="0"/>
                      <w:marRight w:val="0"/>
                      <w:marTop w:val="0"/>
                      <w:marBottom w:val="0"/>
                      <w:divBdr>
                        <w:top w:val="none" w:sz="0" w:space="0" w:color="auto"/>
                        <w:left w:val="none" w:sz="0" w:space="0" w:color="auto"/>
                        <w:bottom w:val="none" w:sz="0" w:space="0" w:color="auto"/>
                        <w:right w:val="none" w:sz="0" w:space="0" w:color="auto"/>
                      </w:divBdr>
                    </w:div>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1823542373">
                              <w:marLeft w:val="0"/>
                              <w:marRight w:val="0"/>
                              <w:marTop w:val="0"/>
                              <w:marBottom w:val="0"/>
                              <w:divBdr>
                                <w:top w:val="none" w:sz="0" w:space="0" w:color="auto"/>
                                <w:left w:val="none" w:sz="0" w:space="0" w:color="auto"/>
                                <w:bottom w:val="none" w:sz="0" w:space="0" w:color="auto"/>
                                <w:right w:val="none" w:sz="0" w:space="0" w:color="auto"/>
                              </w:divBdr>
                            </w:div>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 w:id="472020311">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1288194707">
          <w:marLeft w:val="0"/>
          <w:marRight w:val="0"/>
          <w:marTop w:val="0"/>
          <w:marBottom w:val="0"/>
          <w:divBdr>
            <w:top w:val="none" w:sz="0" w:space="0" w:color="auto"/>
            <w:left w:val="none" w:sz="0" w:space="0" w:color="auto"/>
            <w:bottom w:val="none" w:sz="0" w:space="0" w:color="auto"/>
            <w:right w:val="none" w:sz="0" w:space="0" w:color="auto"/>
          </w:divBdr>
        </w:div>
        <w:div w:id="1861240608">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358039604">
                                  <w:marLeft w:val="0"/>
                                  <w:marRight w:val="0"/>
                                  <w:marTop w:val="0"/>
                                  <w:marBottom w:val="250"/>
                                  <w:divBdr>
                                    <w:top w:val="none" w:sz="0" w:space="0" w:color="auto"/>
                                    <w:left w:val="none" w:sz="0" w:space="0" w:color="auto"/>
                                    <w:bottom w:val="none" w:sz="0" w:space="0" w:color="auto"/>
                                    <w:right w:val="none" w:sz="0" w:space="0" w:color="auto"/>
                                  </w:divBdr>
                                </w:div>
                                <w:div w:id="1286349874">
                                  <w:marLeft w:val="0"/>
                                  <w:marRight w:val="0"/>
                                  <w:marTop w:val="0"/>
                                  <w:marBottom w:val="0"/>
                                  <w:divBdr>
                                    <w:top w:val="none" w:sz="0" w:space="0" w:color="auto"/>
                                    <w:left w:val="none" w:sz="0" w:space="0" w:color="auto"/>
                                    <w:bottom w:val="none" w:sz="0" w:space="0" w:color="auto"/>
                                    <w:right w:val="none" w:sz="0" w:space="0" w:color="auto"/>
                                  </w:divBdr>
                                  <w:divsChild>
                                    <w:div w:id="1703549105">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338000816">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901750949">
                                          <w:marLeft w:val="0"/>
                                          <w:marRight w:val="0"/>
                                          <w:marTop w:val="0"/>
                                          <w:marBottom w:val="0"/>
                                          <w:divBdr>
                                            <w:top w:val="none" w:sz="0" w:space="0" w:color="auto"/>
                                            <w:left w:val="none" w:sz="0" w:space="0" w:color="auto"/>
                                            <w:bottom w:val="none" w:sz="0" w:space="0" w:color="auto"/>
                                            <w:right w:val="none" w:sz="0" w:space="0" w:color="auto"/>
                                          </w:divBdr>
                                        </w:div>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729693778">
                                      <w:marLeft w:val="0"/>
                                      <w:marRight w:val="0"/>
                                      <w:marTop w:val="0"/>
                                      <w:marBottom w:val="0"/>
                                      <w:divBdr>
                                        <w:top w:val="none" w:sz="0" w:space="0" w:color="auto"/>
                                        <w:left w:val="none" w:sz="0" w:space="0" w:color="auto"/>
                                        <w:bottom w:val="none" w:sz="0" w:space="0" w:color="auto"/>
                                        <w:right w:val="none" w:sz="0" w:space="0" w:color="auto"/>
                                      </w:divBdr>
                                    </w:div>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1683586473">
                      <w:marLeft w:val="0"/>
                      <w:marRight w:val="0"/>
                      <w:marTop w:val="0"/>
                      <w:marBottom w:val="0"/>
                      <w:divBdr>
                        <w:top w:val="none" w:sz="0" w:space="0" w:color="auto"/>
                        <w:left w:val="none" w:sz="0" w:space="0" w:color="auto"/>
                        <w:bottom w:val="none" w:sz="0" w:space="0" w:color="auto"/>
                        <w:right w:val="none" w:sz="0" w:space="0" w:color="auto"/>
                      </w:divBdr>
                    </w:div>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461654546">
                                  <w:marLeft w:val="0"/>
                                  <w:marRight w:val="0"/>
                                  <w:marTop w:val="0"/>
                                  <w:marBottom w:val="0"/>
                                  <w:divBdr>
                                    <w:top w:val="none" w:sz="0" w:space="0" w:color="auto"/>
                                    <w:left w:val="none" w:sz="0" w:space="0" w:color="auto"/>
                                    <w:bottom w:val="none" w:sz="0" w:space="0" w:color="auto"/>
                                    <w:right w:val="none" w:sz="0" w:space="0" w:color="auto"/>
                                  </w:divBdr>
                                </w:div>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54186746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197160196">
              <w:marLeft w:val="0"/>
              <w:marRight w:val="0"/>
              <w:marTop w:val="0"/>
              <w:marBottom w:val="0"/>
              <w:divBdr>
                <w:top w:val="none" w:sz="0" w:space="0" w:color="auto"/>
                <w:left w:val="none" w:sz="0" w:space="0" w:color="auto"/>
                <w:bottom w:val="none" w:sz="0" w:space="0" w:color="auto"/>
                <w:right w:val="none" w:sz="0" w:space="0" w:color="auto"/>
              </w:divBdr>
            </w:div>
          </w:divsChild>
        </w:div>
        <w:div w:id="593243400">
          <w:marLeft w:val="0"/>
          <w:marRight w:val="0"/>
          <w:marTop w:val="0"/>
          <w:marBottom w:val="0"/>
          <w:divBdr>
            <w:top w:val="none" w:sz="0" w:space="0" w:color="auto"/>
            <w:left w:val="none" w:sz="0" w:space="0" w:color="auto"/>
            <w:bottom w:val="none" w:sz="0" w:space="0" w:color="auto"/>
            <w:right w:val="none" w:sz="0" w:space="0" w:color="auto"/>
          </w:divBdr>
        </w:div>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2103136592">
                  <w:marLeft w:val="0"/>
                  <w:marRight w:val="0"/>
                  <w:marTop w:val="188"/>
                  <w:marBottom w:val="313"/>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72435803">
                  <w:marLeft w:val="0"/>
                  <w:marRight w:val="0"/>
                  <w:marTop w:val="313"/>
                  <w:marBottom w:val="0"/>
                  <w:divBdr>
                    <w:top w:val="none" w:sz="0" w:space="0" w:color="auto"/>
                    <w:left w:val="none" w:sz="0" w:space="0" w:color="auto"/>
                    <w:bottom w:val="none" w:sz="0" w:space="0" w:color="auto"/>
                    <w:right w:val="none" w:sz="0" w:space="0" w:color="auto"/>
                  </w:divBdr>
                </w:div>
              </w:divsChild>
            </w:div>
            <w:div w:id="55128544">
              <w:marLeft w:val="0"/>
              <w:marRight w:val="0"/>
              <w:marTop w:val="0"/>
              <w:marBottom w:val="0"/>
              <w:divBdr>
                <w:top w:val="none" w:sz="0" w:space="0" w:color="auto"/>
                <w:left w:val="none" w:sz="0" w:space="0" w:color="auto"/>
                <w:bottom w:val="none" w:sz="0" w:space="0" w:color="auto"/>
                <w:right w:val="none" w:sz="0" w:space="0" w:color="auto"/>
              </w:divBdr>
              <w:divsChild>
                <w:div w:id="2139100600">
                  <w:marLeft w:val="0"/>
                  <w:marRight w:val="0"/>
                  <w:marTop w:val="0"/>
                  <w:marBottom w:val="0"/>
                  <w:divBdr>
                    <w:top w:val="none" w:sz="0" w:space="0" w:color="auto"/>
                    <w:left w:val="none" w:sz="0" w:space="0" w:color="auto"/>
                    <w:bottom w:val="none" w:sz="0" w:space="0" w:color="auto"/>
                    <w:right w:val="none" w:sz="0" w:space="0" w:color="auto"/>
                  </w:divBdr>
                  <w:divsChild>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 w:id="68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931887299">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592319167">
          <w:marLeft w:val="0"/>
          <w:marRight w:val="0"/>
          <w:marTop w:val="0"/>
          <w:marBottom w:val="0"/>
          <w:divBdr>
            <w:top w:val="none" w:sz="0" w:space="0" w:color="B32025"/>
            <w:left w:val="none" w:sz="0" w:space="0" w:color="B32025"/>
            <w:bottom w:val="single" w:sz="12" w:space="3" w:color="666666"/>
            <w:right w:val="none" w:sz="0" w:space="0" w:color="B32025"/>
          </w:divBdr>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295986219">
                      <w:marLeft w:val="0"/>
                      <w:marRight w:val="0"/>
                      <w:marTop w:val="0"/>
                      <w:marBottom w:val="188"/>
                      <w:divBdr>
                        <w:top w:val="none" w:sz="0" w:space="0" w:color="auto"/>
                        <w:left w:val="none" w:sz="0" w:space="0" w:color="auto"/>
                        <w:bottom w:val="single" w:sz="12" w:space="2" w:color="888888"/>
                        <w:right w:val="none" w:sz="0" w:space="0" w:color="auto"/>
                      </w:divBdr>
                    </w:div>
                    <w:div w:id="133723624">
                      <w:marLeft w:val="-1002"/>
                      <w:marRight w:val="0"/>
                      <w:marTop w:val="0"/>
                      <w:marBottom w:val="0"/>
                      <w:divBdr>
                        <w:top w:val="none" w:sz="0" w:space="0" w:color="auto"/>
                        <w:left w:val="none" w:sz="0" w:space="0" w:color="auto"/>
                        <w:bottom w:val="none" w:sz="0" w:space="0" w:color="auto"/>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70547874">
              <w:marLeft w:val="0"/>
              <w:marRight w:val="0"/>
              <w:marTop w:val="0"/>
              <w:marBottom w:val="376"/>
              <w:divBdr>
                <w:top w:val="none" w:sz="0" w:space="0" w:color="auto"/>
                <w:left w:val="none" w:sz="0" w:space="0" w:color="auto"/>
                <w:bottom w:val="none" w:sz="0" w:space="0" w:color="auto"/>
                <w:right w:val="none" w:sz="0" w:space="0" w:color="auto"/>
              </w:divBdr>
              <w:divsChild>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639">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1681934380">
                      <w:marLeft w:val="0"/>
                      <w:marRight w:val="0"/>
                      <w:marTop w:val="0"/>
                      <w:marBottom w:val="0"/>
                      <w:divBdr>
                        <w:top w:val="none" w:sz="0" w:space="0" w:color="auto"/>
                        <w:left w:val="none" w:sz="0" w:space="0" w:color="auto"/>
                        <w:bottom w:val="none" w:sz="0" w:space="0" w:color="auto"/>
                        <w:right w:val="none" w:sz="0" w:space="0" w:color="auto"/>
                      </w:divBdr>
                    </w:div>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enu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Amy</cp:lastModifiedBy>
  <cp:revision>2</cp:revision>
  <cp:lastPrinted>2016-10-13T16:43:00Z</cp:lastPrinted>
  <dcterms:created xsi:type="dcterms:W3CDTF">2016-11-30T15:54:00Z</dcterms:created>
  <dcterms:modified xsi:type="dcterms:W3CDTF">2016-11-30T15:54:00Z</dcterms:modified>
</cp:coreProperties>
</file>