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17" w:rsidRDefault="00DD16BF" w:rsidP="00635217">
      <w:pPr>
        <w:spacing w:before="2" w:after="0" w:line="120" w:lineRule="exact"/>
        <w:rPr>
          <w:sz w:val="12"/>
          <w:szCs w:val="12"/>
        </w:rPr>
      </w:pPr>
      <w:r w:rsidRPr="00DD16BF">
        <w:rPr>
          <w:noProof/>
        </w:rPr>
        <w:pict>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5"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Pr="00DD3B6E" w:rsidRDefault="00635217" w:rsidP="00635217">
      <w:pPr>
        <w:spacing w:before="21" w:after="0" w:line="240" w:lineRule="auto"/>
        <w:ind w:left="3960" w:right="3600"/>
        <w:jc w:val="center"/>
        <w:rPr>
          <w:rFonts w:ascii="Verdana" w:eastAsia="Verdana" w:hAnsi="Verdana" w:cs="Verdana"/>
        </w:rPr>
      </w:pPr>
      <w:r w:rsidRPr="00DD3B6E">
        <w:rPr>
          <w:rFonts w:ascii="Verdana" w:eastAsia="Verdana" w:hAnsi="Verdana" w:cs="Verdana"/>
          <w:spacing w:val="-2"/>
        </w:rPr>
        <w:t>Wee</w:t>
      </w:r>
      <w:r w:rsidRPr="00DD3B6E">
        <w:rPr>
          <w:rFonts w:ascii="Verdana" w:eastAsia="Verdana" w:hAnsi="Verdana" w:cs="Verdana"/>
        </w:rPr>
        <w:t>k</w:t>
      </w:r>
      <w:r>
        <w:rPr>
          <w:rFonts w:ascii="Verdana" w:eastAsia="Verdana" w:hAnsi="Verdana" w:cs="Verdana"/>
        </w:rPr>
        <w:t xml:space="preserve"> of </w:t>
      </w:r>
      <w:r w:rsidR="003C2D1A">
        <w:rPr>
          <w:rFonts w:ascii="Verdana" w:eastAsia="Verdana" w:hAnsi="Verdana" w:cs="Verdana"/>
        </w:rPr>
        <w:t>October 10</w:t>
      </w:r>
      <w:r>
        <w:rPr>
          <w:rFonts w:ascii="Verdana" w:eastAsia="Verdana" w:hAnsi="Verdana" w:cs="Verdana"/>
        </w:rPr>
        <w:t>, 2</w:t>
      </w:r>
      <w:r w:rsidRPr="00DD3B6E">
        <w:rPr>
          <w:rFonts w:ascii="Verdana" w:eastAsia="Verdana" w:hAnsi="Verdana" w:cs="Verdana"/>
          <w:spacing w:val="-1"/>
        </w:rPr>
        <w:t>01</w:t>
      </w:r>
      <w:r w:rsidRPr="00DD3B6E">
        <w:rPr>
          <w:rFonts w:ascii="Verdana" w:eastAsia="Verdana" w:hAnsi="Verdana" w:cs="Verdana"/>
        </w:rPr>
        <w:t>6</w:t>
      </w:r>
    </w:p>
    <w:p w:rsidR="00635217" w:rsidRDefault="00635217" w:rsidP="00635217">
      <w:pPr>
        <w:spacing w:before="21" w:after="0" w:line="240" w:lineRule="auto"/>
        <w:ind w:left="4107" w:right="4107"/>
        <w:jc w:val="center"/>
        <w:rPr>
          <w:rFonts w:ascii="Verdana" w:eastAsia="Verdana" w:hAnsi="Verdana" w:cs="Verdana"/>
          <w:b/>
          <w:bCs/>
          <w:position w:val="-2"/>
          <w:sz w:val="24"/>
          <w:szCs w:val="24"/>
          <w:u w:val="thick" w:color="000000"/>
        </w:rPr>
      </w:pPr>
      <w:r w:rsidRPr="00DD3B6E">
        <w:rPr>
          <w:rFonts w:ascii="Verdana" w:eastAsia="Verdana" w:hAnsi="Verdana" w:cs="Verdana"/>
          <w:b/>
          <w:bCs/>
          <w:position w:val="-2"/>
          <w:sz w:val="24"/>
          <w:szCs w:val="24"/>
          <w:u w:val="thick" w:color="000000"/>
        </w:rPr>
        <w:t>HE</w:t>
      </w:r>
      <w:r w:rsidRPr="00DD3B6E">
        <w:rPr>
          <w:rFonts w:ascii="Verdana" w:eastAsia="Verdana" w:hAnsi="Verdana" w:cs="Verdana"/>
          <w:b/>
          <w:bCs/>
          <w:spacing w:val="1"/>
          <w:position w:val="-2"/>
          <w:sz w:val="24"/>
          <w:szCs w:val="24"/>
          <w:u w:val="thick" w:color="000000"/>
        </w:rPr>
        <w:t>A</w:t>
      </w:r>
      <w:r w:rsidRPr="00DD3B6E">
        <w:rPr>
          <w:rFonts w:ascii="Verdana" w:eastAsia="Verdana" w:hAnsi="Verdana" w:cs="Verdana"/>
          <w:b/>
          <w:bCs/>
          <w:spacing w:val="2"/>
          <w:position w:val="-2"/>
          <w:sz w:val="24"/>
          <w:szCs w:val="24"/>
          <w:u w:val="thick" w:color="000000"/>
        </w:rPr>
        <w:t>D</w:t>
      </w:r>
      <w:r w:rsidRPr="00DD3B6E">
        <w:rPr>
          <w:rFonts w:ascii="Verdana" w:eastAsia="Verdana" w:hAnsi="Verdana" w:cs="Verdana"/>
          <w:b/>
          <w:bCs/>
          <w:position w:val="-2"/>
          <w:sz w:val="24"/>
          <w:szCs w:val="24"/>
          <w:u w:val="thick" w:color="000000"/>
        </w:rPr>
        <w:t>L</w:t>
      </w:r>
      <w:r w:rsidRPr="00DD3B6E">
        <w:rPr>
          <w:rFonts w:ascii="Verdana" w:eastAsia="Verdana" w:hAnsi="Verdana" w:cs="Verdana"/>
          <w:b/>
          <w:bCs/>
          <w:spacing w:val="-1"/>
          <w:w w:val="99"/>
          <w:position w:val="-2"/>
          <w:sz w:val="24"/>
          <w:szCs w:val="24"/>
          <w:u w:val="thick" w:color="000000"/>
        </w:rPr>
        <w:t>I</w:t>
      </w:r>
      <w:r w:rsidRPr="00DD3B6E">
        <w:rPr>
          <w:rFonts w:ascii="Verdana" w:eastAsia="Verdana" w:hAnsi="Verdana" w:cs="Verdana"/>
          <w:b/>
          <w:bCs/>
          <w:spacing w:val="-2"/>
          <w:w w:val="99"/>
          <w:position w:val="-2"/>
          <w:sz w:val="24"/>
          <w:szCs w:val="24"/>
          <w:u w:val="thick" w:color="000000"/>
        </w:rPr>
        <w:t>N</w:t>
      </w:r>
      <w:r w:rsidRPr="00DD3B6E">
        <w:rPr>
          <w:rFonts w:ascii="Verdana" w:eastAsia="Verdana" w:hAnsi="Verdana" w:cs="Verdana"/>
          <w:b/>
          <w:bCs/>
          <w:spacing w:val="-1"/>
          <w:position w:val="-2"/>
          <w:sz w:val="24"/>
          <w:szCs w:val="24"/>
          <w:u w:val="thick" w:color="000000"/>
        </w:rPr>
        <w:t>E</w:t>
      </w:r>
      <w:r w:rsidRPr="00DD3B6E">
        <w:rPr>
          <w:rFonts w:ascii="Verdana" w:eastAsia="Verdana" w:hAnsi="Verdana" w:cs="Verdana"/>
          <w:b/>
          <w:bCs/>
          <w:position w:val="-2"/>
          <w:sz w:val="24"/>
          <w:szCs w:val="24"/>
          <w:u w:val="thick" w:color="000000"/>
        </w:rPr>
        <w:t>S</w:t>
      </w:r>
    </w:p>
    <w:p w:rsidR="008041E8" w:rsidRPr="008041E8" w:rsidRDefault="008041E8" w:rsidP="008041E8">
      <w:pPr>
        <w:pStyle w:val="NoSpacing"/>
        <w:rPr>
          <w:rFonts w:ascii="Verdana" w:hAnsi="Verdana"/>
          <w:b/>
          <w:caps/>
          <w:sz w:val="22"/>
          <w:szCs w:val="20"/>
          <w:u w:val="thick"/>
        </w:rPr>
      </w:pPr>
      <w:r w:rsidRPr="008041E8">
        <w:rPr>
          <w:rFonts w:ascii="Verdana" w:hAnsi="Verdana"/>
          <w:b/>
          <w:caps/>
          <w:sz w:val="22"/>
          <w:szCs w:val="20"/>
          <w:u w:val="thick"/>
        </w:rPr>
        <w:t>Employers irate over end of Pa.-N.J. income tax deal</w:t>
      </w:r>
    </w:p>
    <w:p w:rsidR="008041E8" w:rsidRPr="008041E8" w:rsidRDefault="008041E8" w:rsidP="008041E8">
      <w:pPr>
        <w:pStyle w:val="NoSpacing"/>
        <w:rPr>
          <w:rFonts w:ascii="Verdana" w:hAnsi="Verdana"/>
          <w:sz w:val="20"/>
          <w:szCs w:val="20"/>
        </w:rPr>
      </w:pPr>
      <w:r w:rsidRPr="008041E8">
        <w:rPr>
          <w:rFonts w:ascii="Verdana" w:hAnsi="Verdana"/>
          <w:sz w:val="20"/>
          <w:szCs w:val="20"/>
        </w:rPr>
        <w:t>Several New Jersey employers are livid over Republican Gov.</w:t>
      </w:r>
      <w:r w:rsidR="00D654C2">
        <w:rPr>
          <w:rFonts w:ascii="Verdana" w:hAnsi="Verdana"/>
          <w:sz w:val="20"/>
          <w:szCs w:val="20"/>
        </w:rPr>
        <w:t xml:space="preserve"> </w:t>
      </w:r>
      <w:hyperlink r:id="rId6" w:tooltip="Chris Christie" w:history="1">
        <w:r w:rsidRPr="008041E8">
          <w:rPr>
            <w:rStyle w:val="Hyperlink"/>
            <w:rFonts w:ascii="Verdana" w:hAnsi="Verdana"/>
            <w:color w:val="auto"/>
            <w:sz w:val="20"/>
            <w:szCs w:val="20"/>
            <w:u w:val="none"/>
          </w:rPr>
          <w:t>Chris Christie</w:t>
        </w:r>
      </w:hyperlink>
      <w:r w:rsidRPr="008041E8">
        <w:rPr>
          <w:rFonts w:ascii="Verdana" w:hAnsi="Verdana"/>
          <w:sz w:val="20"/>
          <w:szCs w:val="20"/>
        </w:rPr>
        <w:t xml:space="preserve">'s decision to end a nearly 4-decade-old income tax agreement with Pennsylvania. With thousands of residents in each state poised to have their tax burdens increase, employers on the New Jersey side of the Delaware River are debating whether they should put some million-dollar projects on hold, The Philadelphia Inquirer reported. Subaru of America President Thomas Doll said he was "blindsided" and "very disappointed" by the governor's decision. Subaru is now re-evaluating the decision to build its national training center in Camden. Companies based in New Jersey with employees who live in Philadelphia and its surrounding suburbs will be at a huge disadvantage, according to Kathy Davis, president of the Chamber of Commerce of South Jersey. Estimates from the U.S. Census Bureau show approximately 125,000 Pennsylvania residents </w:t>
      </w:r>
    </w:p>
    <w:p w:rsidR="00D654C2" w:rsidRPr="00D654C2" w:rsidRDefault="00D654C2" w:rsidP="00D654C2">
      <w:pPr>
        <w:pStyle w:val="NoSpacing"/>
        <w:rPr>
          <w:rFonts w:ascii="Verdana" w:hAnsi="Verdana"/>
          <w:b/>
          <w:caps/>
          <w:sz w:val="22"/>
          <w:szCs w:val="20"/>
          <w:u w:val="thick"/>
        </w:rPr>
      </w:pPr>
      <w:r w:rsidRPr="00D654C2">
        <w:rPr>
          <w:rFonts w:ascii="Verdana" w:hAnsi="Verdana"/>
          <w:b/>
          <w:caps/>
          <w:sz w:val="22"/>
          <w:szCs w:val="20"/>
          <w:u w:val="thick"/>
        </w:rPr>
        <w:t>W.H.O. Urges Tax on Sugary Drinks to Fight Obesity</w:t>
      </w:r>
    </w:p>
    <w:p w:rsidR="00D654C2" w:rsidRDefault="00D654C2" w:rsidP="00D654C2">
      <w:pPr>
        <w:pStyle w:val="NoSpacing"/>
        <w:rPr>
          <w:rFonts w:ascii="Verdana" w:hAnsi="Verdana"/>
          <w:sz w:val="20"/>
          <w:szCs w:val="20"/>
        </w:rPr>
      </w:pPr>
      <w:r w:rsidRPr="00D654C2">
        <w:rPr>
          <w:rFonts w:ascii="Verdana" w:hAnsi="Verdana"/>
          <w:sz w:val="20"/>
          <w:szCs w:val="20"/>
        </w:rPr>
        <w:t>The</w:t>
      </w:r>
      <w:r w:rsidRPr="00D654C2">
        <w:rPr>
          <w:rStyle w:val="apple-converted-space"/>
          <w:rFonts w:ascii="Verdana" w:hAnsi="Verdana"/>
          <w:sz w:val="20"/>
          <w:szCs w:val="20"/>
        </w:rPr>
        <w:t> </w:t>
      </w:r>
      <w:hyperlink r:id="rId7" w:tooltip="More articles about World Health Organization" w:history="1">
        <w:r w:rsidRPr="00D654C2">
          <w:rPr>
            <w:rStyle w:val="Hyperlink"/>
            <w:rFonts w:ascii="Verdana" w:hAnsi="Verdana"/>
            <w:color w:val="auto"/>
            <w:sz w:val="20"/>
            <w:szCs w:val="20"/>
            <w:u w:val="none"/>
          </w:rPr>
          <w:t>World Health Organization</w:t>
        </w:r>
      </w:hyperlink>
      <w:r w:rsidRPr="00D654C2">
        <w:rPr>
          <w:rStyle w:val="apple-converted-space"/>
          <w:rFonts w:ascii="Verdana" w:hAnsi="Verdana"/>
          <w:sz w:val="20"/>
          <w:szCs w:val="20"/>
        </w:rPr>
        <w:t> </w:t>
      </w:r>
      <w:r w:rsidRPr="00D654C2">
        <w:rPr>
          <w:rFonts w:ascii="Verdana" w:hAnsi="Verdana"/>
          <w:sz w:val="20"/>
          <w:szCs w:val="20"/>
        </w:rPr>
        <w:t>on Tuesday urged countries to impose a tax on sugary drinks to battle the growing</w:t>
      </w:r>
      <w:r w:rsidRPr="00D654C2">
        <w:rPr>
          <w:rStyle w:val="apple-converted-space"/>
          <w:rFonts w:ascii="Verdana" w:hAnsi="Verdana"/>
          <w:sz w:val="20"/>
          <w:szCs w:val="20"/>
        </w:rPr>
        <w:t> </w:t>
      </w:r>
      <w:hyperlink r:id="rId8" w:tooltip="In-depth reference and news articles about Obesity." w:history="1">
        <w:r w:rsidRPr="00D654C2">
          <w:rPr>
            <w:rStyle w:val="Hyperlink"/>
            <w:rFonts w:ascii="Verdana" w:hAnsi="Verdana"/>
            <w:color w:val="auto"/>
            <w:sz w:val="20"/>
            <w:szCs w:val="20"/>
            <w:u w:val="none"/>
          </w:rPr>
          <w:t>obesity</w:t>
        </w:r>
      </w:hyperlink>
      <w:r w:rsidRPr="00D654C2">
        <w:rPr>
          <w:rStyle w:val="apple-converted-space"/>
          <w:rFonts w:ascii="Verdana" w:hAnsi="Verdana"/>
          <w:sz w:val="20"/>
          <w:szCs w:val="20"/>
        </w:rPr>
        <w:t> </w:t>
      </w:r>
      <w:r w:rsidRPr="00D654C2">
        <w:rPr>
          <w:rFonts w:ascii="Verdana" w:hAnsi="Verdana"/>
          <w:sz w:val="20"/>
          <w:szCs w:val="20"/>
        </w:rPr>
        <w:t>epidemic and</w:t>
      </w:r>
      <w:r w:rsidRPr="00D654C2">
        <w:rPr>
          <w:rStyle w:val="apple-converted-space"/>
          <w:rFonts w:ascii="Verdana" w:hAnsi="Verdana"/>
          <w:sz w:val="20"/>
          <w:szCs w:val="20"/>
        </w:rPr>
        <w:t> </w:t>
      </w:r>
      <w:hyperlink r:id="rId9" w:history="1">
        <w:r w:rsidRPr="00D654C2">
          <w:rPr>
            <w:rStyle w:val="Hyperlink"/>
            <w:rFonts w:ascii="Verdana" w:hAnsi="Verdana"/>
            <w:color w:val="auto"/>
            <w:sz w:val="20"/>
            <w:szCs w:val="20"/>
            <w:u w:val="none"/>
          </w:rPr>
          <w:t>presented new data on the beneficial health effects of such a tax</w:t>
        </w:r>
      </w:hyperlink>
      <w:r w:rsidRPr="00D654C2">
        <w:rPr>
          <w:rFonts w:ascii="Verdana" w:hAnsi="Verdana"/>
          <w:sz w:val="20"/>
          <w:szCs w:val="20"/>
        </w:rPr>
        <w:t>. A tax on sugary beverages</w:t>
      </w:r>
      <w:r>
        <w:rPr>
          <w:rFonts w:ascii="Verdana" w:hAnsi="Verdana"/>
          <w:sz w:val="20"/>
          <w:szCs w:val="20"/>
        </w:rPr>
        <w:t>,</w:t>
      </w:r>
      <w:r w:rsidRPr="00D654C2">
        <w:rPr>
          <w:rFonts w:ascii="Verdana" w:hAnsi="Verdana"/>
          <w:sz w:val="20"/>
          <w:szCs w:val="20"/>
        </w:rPr>
        <w:t xml:space="preserve"> raising their price 20 percent</w:t>
      </w:r>
      <w:r>
        <w:rPr>
          <w:rFonts w:ascii="Verdana" w:hAnsi="Verdana"/>
          <w:sz w:val="20"/>
          <w:szCs w:val="20"/>
        </w:rPr>
        <w:t>,</w:t>
      </w:r>
      <w:r w:rsidRPr="00D654C2">
        <w:rPr>
          <w:rFonts w:ascii="Verdana" w:hAnsi="Verdana"/>
          <w:sz w:val="20"/>
          <w:szCs w:val="20"/>
        </w:rPr>
        <w:t xml:space="preserve"> would result in a proportionate reduction in their consumption, the agency said.  </w:t>
      </w:r>
      <w:r>
        <w:rPr>
          <w:rFonts w:ascii="Verdana" w:hAnsi="Verdana"/>
          <w:sz w:val="20"/>
          <w:szCs w:val="20"/>
        </w:rPr>
        <w:t xml:space="preserve">A report released Tuesday </w:t>
      </w:r>
      <w:r w:rsidRPr="00D654C2">
        <w:rPr>
          <w:rFonts w:ascii="Verdana" w:hAnsi="Verdana"/>
          <w:sz w:val="20"/>
          <w:szCs w:val="20"/>
        </w:rPr>
        <w:t>at the organization’s headquarters in Geneva, quantifies the effects of such a tax. The agency convened a panel of experts in mid-2015, who produced the numbers after an extensive review of the scientific literature, which included mathematical modeling and studies of actual taxes applied in countries.</w:t>
      </w:r>
      <w:r>
        <w:rPr>
          <w:rFonts w:ascii="Verdana" w:hAnsi="Verdana"/>
          <w:sz w:val="20"/>
          <w:szCs w:val="20"/>
        </w:rPr>
        <w:t xml:space="preserve"> </w:t>
      </w:r>
      <w:r w:rsidRPr="00D654C2">
        <w:rPr>
          <w:rFonts w:ascii="Verdana" w:hAnsi="Verdana"/>
          <w:sz w:val="20"/>
          <w:szCs w:val="20"/>
        </w:rPr>
        <w:t>Sugary-drink taxes have been controversial in the United States, where the food industry has fought them. A soda tax in New York City championed by Mayor Michael R. Bloomberg was struck down in the courts, but</w:t>
      </w:r>
      <w:r w:rsidR="00BB062C">
        <w:rPr>
          <w:rFonts w:ascii="Verdana" w:hAnsi="Verdana"/>
          <w:sz w:val="20"/>
          <w:szCs w:val="20"/>
        </w:rPr>
        <w:t xml:space="preserve"> </w:t>
      </w:r>
      <w:hyperlink r:id="rId10" w:history="1">
        <w:r w:rsidRPr="00D654C2">
          <w:rPr>
            <w:rStyle w:val="Hyperlink"/>
            <w:rFonts w:ascii="Verdana" w:hAnsi="Verdana"/>
            <w:color w:val="auto"/>
            <w:sz w:val="20"/>
            <w:szCs w:val="20"/>
            <w:u w:val="none"/>
          </w:rPr>
          <w:t>Philadelphia</w:t>
        </w:r>
        <w:r w:rsidRPr="00D654C2">
          <w:rPr>
            <w:rStyle w:val="apple-converted-space"/>
            <w:rFonts w:ascii="Verdana" w:hAnsi="Verdana"/>
            <w:sz w:val="20"/>
            <w:szCs w:val="20"/>
          </w:rPr>
          <w:t> </w:t>
        </w:r>
      </w:hyperlink>
      <w:r w:rsidRPr="00D654C2">
        <w:rPr>
          <w:rFonts w:ascii="Verdana" w:hAnsi="Verdana"/>
          <w:sz w:val="20"/>
          <w:szCs w:val="20"/>
        </w:rPr>
        <w:t>and Berkeley, Calif., have been successful at carrying out such policies.</w:t>
      </w:r>
    </w:p>
    <w:p w:rsidR="009100A9" w:rsidRPr="009100A9" w:rsidRDefault="009100A9" w:rsidP="009100A9">
      <w:pPr>
        <w:pStyle w:val="NoSpacing"/>
        <w:rPr>
          <w:rFonts w:ascii="Verdana" w:hAnsi="Verdana"/>
          <w:b/>
          <w:caps/>
          <w:sz w:val="22"/>
          <w:szCs w:val="20"/>
          <w:u w:val="thick"/>
        </w:rPr>
      </w:pPr>
      <w:r w:rsidRPr="009100A9">
        <w:rPr>
          <w:rFonts w:ascii="Verdana" w:hAnsi="Verdana"/>
          <w:b/>
          <w:caps/>
          <w:sz w:val="22"/>
          <w:szCs w:val="20"/>
          <w:u w:val="thick"/>
        </w:rPr>
        <w:t>Public hearing on soda tax Thursday</w:t>
      </w:r>
    </w:p>
    <w:p w:rsidR="009100A9" w:rsidRPr="009100A9" w:rsidRDefault="009100A9" w:rsidP="00D654C2">
      <w:pPr>
        <w:pStyle w:val="NoSpacing"/>
        <w:rPr>
          <w:rFonts w:ascii="Verdana" w:hAnsi="Verdana" w:cs="Arial"/>
          <w:color w:val="222222"/>
          <w:sz w:val="20"/>
          <w:szCs w:val="20"/>
        </w:rPr>
      </w:pPr>
      <w:r w:rsidRPr="009100A9">
        <w:rPr>
          <w:rFonts w:ascii="Verdana" w:hAnsi="Verdana" w:cs="Arial"/>
          <w:color w:val="222222"/>
          <w:sz w:val="20"/>
          <w:szCs w:val="20"/>
        </w:rPr>
        <w:t xml:space="preserve">A public hearing </w:t>
      </w:r>
      <w:r>
        <w:rPr>
          <w:rFonts w:ascii="Verdana" w:hAnsi="Verdana" w:cs="Arial"/>
          <w:color w:val="222222"/>
          <w:sz w:val="20"/>
          <w:szCs w:val="20"/>
        </w:rPr>
        <w:t>was held</w:t>
      </w:r>
      <w:r w:rsidRPr="009100A9">
        <w:rPr>
          <w:rFonts w:ascii="Verdana" w:hAnsi="Verdana" w:cs="Arial"/>
          <w:color w:val="222222"/>
          <w:sz w:val="20"/>
          <w:szCs w:val="20"/>
        </w:rPr>
        <w:t xml:space="preserve"> Thursday to discuss the city's proposed regulations for the new beverage tax that is scheduled to go into effect Jan. 1. The tax will add 1.5 cents per ounce to the cost of most sugary and diet beverages. Mayor Kenney sought it to pay for expanded early childhood education and a number of other initiatives. The tax, applied at the distributor level, is expected to generate about $92 million annually.</w:t>
      </w:r>
      <w:r>
        <w:rPr>
          <w:rFonts w:ascii="Verdana" w:hAnsi="Verdana" w:cs="Arial"/>
          <w:color w:val="222222"/>
          <w:sz w:val="20"/>
          <w:szCs w:val="20"/>
        </w:rPr>
        <w:t xml:space="preserve"> </w:t>
      </w:r>
      <w:r w:rsidRPr="009100A9">
        <w:rPr>
          <w:rFonts w:ascii="Verdana" w:hAnsi="Verdana" w:cs="Arial"/>
          <w:color w:val="222222"/>
          <w:sz w:val="20"/>
          <w:szCs w:val="20"/>
        </w:rPr>
        <w:t>A group of affected businesses has sued to block the tax.</w:t>
      </w:r>
      <w:r>
        <w:rPr>
          <w:rFonts w:ascii="Verdana" w:hAnsi="Verdana" w:cs="Arial"/>
          <w:color w:val="222222"/>
          <w:sz w:val="20"/>
          <w:szCs w:val="20"/>
        </w:rPr>
        <w:t xml:space="preserve"> </w:t>
      </w:r>
      <w:r w:rsidRPr="009100A9">
        <w:rPr>
          <w:rFonts w:ascii="Verdana" w:hAnsi="Verdana" w:cs="Arial"/>
          <w:color w:val="222222"/>
          <w:sz w:val="20"/>
          <w:szCs w:val="20"/>
        </w:rPr>
        <w:t>In the meantime, the city has agreed to requests from the American Beverage Association and other entities concerned about the tax to hold a public hearing.</w:t>
      </w:r>
      <w:r>
        <w:rPr>
          <w:rFonts w:ascii="Verdana" w:hAnsi="Verdana" w:cs="Arial"/>
          <w:color w:val="222222"/>
          <w:sz w:val="20"/>
          <w:szCs w:val="20"/>
        </w:rPr>
        <w:t xml:space="preserve"> Spokesman Mike Dunn said it is the discretion of the Revenue Commissioner to make changes based on the public comment. </w:t>
      </w:r>
      <w:r w:rsidRPr="009100A9">
        <w:rPr>
          <w:rFonts w:ascii="Verdana" w:hAnsi="Verdana" w:cs="Arial"/>
          <w:color w:val="222222"/>
          <w:sz w:val="20"/>
          <w:szCs w:val="20"/>
        </w:rPr>
        <w:t xml:space="preserve">The regulations break down the specifics of what items will be taxed. For example, more than 60 types of sweeteners are listed, including healthier alternatives such as agave, </w:t>
      </w:r>
      <w:proofErr w:type="spellStart"/>
      <w:r w:rsidRPr="009100A9">
        <w:rPr>
          <w:rFonts w:ascii="Verdana" w:hAnsi="Verdana" w:cs="Arial"/>
          <w:color w:val="222222"/>
          <w:sz w:val="20"/>
          <w:szCs w:val="20"/>
        </w:rPr>
        <w:t>stevia</w:t>
      </w:r>
      <w:proofErr w:type="spellEnd"/>
      <w:r w:rsidRPr="009100A9">
        <w:rPr>
          <w:rFonts w:ascii="Verdana" w:hAnsi="Verdana" w:cs="Arial"/>
          <w:color w:val="222222"/>
          <w:sz w:val="20"/>
          <w:szCs w:val="20"/>
        </w:rPr>
        <w:t>, and juice concentrates. Syrups intended to sweeten a beverage would also be taxed.</w:t>
      </w:r>
      <w:r>
        <w:rPr>
          <w:rFonts w:ascii="Verdana" w:hAnsi="Verdana" w:cs="Arial"/>
          <w:color w:val="222222"/>
          <w:sz w:val="20"/>
          <w:szCs w:val="20"/>
        </w:rPr>
        <w:t xml:space="preserve"> </w:t>
      </w:r>
      <w:r w:rsidRPr="009100A9">
        <w:rPr>
          <w:rFonts w:ascii="Verdana" w:hAnsi="Verdana" w:cs="Arial"/>
          <w:color w:val="222222"/>
          <w:sz w:val="20"/>
          <w:szCs w:val="20"/>
        </w:rPr>
        <w:t>Milk and any product that is more than 50 percent milk-based would be exempt from the tax. Soy milk is also exempt. However, rice milk, almond milk, and cashew milk would be taxed under the proposed regulations.</w:t>
      </w:r>
    </w:p>
    <w:p w:rsidR="009100A9" w:rsidRPr="009100A9" w:rsidRDefault="009100A9" w:rsidP="009100A9">
      <w:pPr>
        <w:pStyle w:val="NoSpacing"/>
        <w:rPr>
          <w:rFonts w:ascii="Verdana" w:hAnsi="Verdana"/>
          <w:b/>
          <w:caps/>
          <w:sz w:val="22"/>
          <w:szCs w:val="20"/>
          <w:u w:val="thick"/>
        </w:rPr>
      </w:pPr>
      <w:hyperlink r:id="rId11" w:history="1">
        <w:r w:rsidRPr="009100A9">
          <w:rPr>
            <w:rStyle w:val="Hyperlink"/>
            <w:rFonts w:ascii="Verdana" w:hAnsi="Verdana" w:cs="Arial"/>
            <w:b/>
            <w:caps/>
            <w:color w:val="auto"/>
            <w:sz w:val="22"/>
            <w:szCs w:val="20"/>
            <w:u w:val="thick"/>
          </w:rPr>
          <w:t>Turzai wants more tax-credit scholarships for nonpublic schools</w:t>
        </w:r>
      </w:hyperlink>
    </w:p>
    <w:p w:rsidR="009100A9" w:rsidRPr="009100A9" w:rsidRDefault="009100A9" w:rsidP="009100A9">
      <w:pPr>
        <w:pStyle w:val="NoSpacing"/>
        <w:rPr>
          <w:rFonts w:ascii="Verdana" w:hAnsi="Verdana"/>
          <w:sz w:val="20"/>
          <w:szCs w:val="20"/>
        </w:rPr>
      </w:pPr>
      <w:proofErr w:type="spellStart"/>
      <w:r w:rsidRPr="009100A9">
        <w:rPr>
          <w:rFonts w:ascii="Verdana" w:hAnsi="Verdana"/>
          <w:sz w:val="20"/>
          <w:szCs w:val="20"/>
        </w:rPr>
        <w:t>Turzai</w:t>
      </w:r>
      <w:proofErr w:type="spellEnd"/>
      <w:r w:rsidRPr="009100A9">
        <w:rPr>
          <w:rFonts w:ascii="Verdana" w:hAnsi="Verdana"/>
          <w:sz w:val="20"/>
          <w:szCs w:val="20"/>
        </w:rPr>
        <w:t xml:space="preserve"> (R., Allegheny) wants to boost the total corporate tax credits businesses can receive for contributing to scholarship and educational-improvement programs to $250 million in the 2017-18 </w:t>
      </w:r>
      <w:proofErr w:type="gramStart"/>
      <w:r w:rsidRPr="009100A9">
        <w:rPr>
          <w:rFonts w:ascii="Verdana" w:hAnsi="Verdana"/>
          <w:sz w:val="20"/>
          <w:szCs w:val="20"/>
        </w:rPr>
        <w:t>budget</w:t>
      </w:r>
      <w:proofErr w:type="gramEnd"/>
      <w:r w:rsidRPr="009100A9">
        <w:rPr>
          <w:rFonts w:ascii="Verdana" w:hAnsi="Verdana"/>
          <w:sz w:val="20"/>
          <w:szCs w:val="20"/>
        </w:rPr>
        <w:t xml:space="preserve"> - $75 million more than the current cap. His proposed legislation, which he said would be introduced this year, would increase the tax credits that businesses can take for contributions to the Educational Improvement Tax Credit (EITC) program by $50 million and the Opportunity Scholarship Tax Credits (OSTC) by $25 </w:t>
      </w:r>
      <w:proofErr w:type="spellStart"/>
      <w:r w:rsidRPr="009100A9">
        <w:rPr>
          <w:rFonts w:ascii="Verdana" w:hAnsi="Verdana"/>
          <w:sz w:val="20"/>
          <w:szCs w:val="20"/>
        </w:rPr>
        <w:t>million.The</w:t>
      </w:r>
      <w:proofErr w:type="spellEnd"/>
      <w:r w:rsidRPr="009100A9">
        <w:rPr>
          <w:rFonts w:ascii="Verdana" w:hAnsi="Verdana"/>
          <w:sz w:val="20"/>
          <w:szCs w:val="20"/>
        </w:rPr>
        <w:t xml:space="preserve"> proposed EITC increase would be twice the size of the boost the legislature approved in the </w:t>
      </w:r>
      <w:r w:rsidRPr="009100A9">
        <w:rPr>
          <w:rFonts w:ascii="Verdana" w:hAnsi="Verdana"/>
          <w:sz w:val="20"/>
          <w:szCs w:val="20"/>
        </w:rPr>
        <w:lastRenderedPageBreak/>
        <w:t>current budget. Critics charge that the tax-credit programs reduce revenue available for public schools and other needs and improperly provide state aid to religious schools.</w:t>
      </w:r>
    </w:p>
    <w:p w:rsidR="00E942E2" w:rsidRPr="00E942E2" w:rsidRDefault="00E942E2" w:rsidP="00E942E2">
      <w:pPr>
        <w:pStyle w:val="NoSpacing"/>
        <w:rPr>
          <w:rFonts w:ascii="Verdana" w:hAnsi="Verdana"/>
          <w:b/>
          <w:caps/>
          <w:sz w:val="22"/>
          <w:szCs w:val="20"/>
          <w:u w:val="thick"/>
        </w:rPr>
      </w:pPr>
      <w:r w:rsidRPr="00E942E2">
        <w:rPr>
          <w:rFonts w:ascii="Verdana" w:hAnsi="Verdana"/>
          <w:b/>
          <w:caps/>
          <w:sz w:val="22"/>
          <w:szCs w:val="20"/>
          <w:u w:val="thick"/>
        </w:rPr>
        <w:t>Slots fix won't shortchange towns, officials say</w:t>
      </w:r>
    </w:p>
    <w:p w:rsidR="009100A9" w:rsidRPr="00E942E2" w:rsidRDefault="00E942E2" w:rsidP="007B1A09">
      <w:pPr>
        <w:pStyle w:val="NoSpacing"/>
        <w:rPr>
          <w:rFonts w:ascii="Verdana" w:hAnsi="Verdana" w:cs="Arial"/>
          <w:color w:val="222222"/>
          <w:sz w:val="20"/>
          <w:szCs w:val="20"/>
        </w:rPr>
      </w:pPr>
      <w:r w:rsidRPr="00E942E2">
        <w:rPr>
          <w:rFonts w:ascii="Verdana" w:hAnsi="Verdana" w:cs="Arial"/>
          <w:color w:val="222222"/>
          <w:sz w:val="20"/>
          <w:szCs w:val="20"/>
        </w:rPr>
        <w:t>Casino executives and politicians are hoping for a fix to Pennsylvania's local slots tax - ruled unconstitutional last week by the state Supreme Court - that keeps the same amount of money flowing to municipalities and counties.</w:t>
      </w:r>
      <w:r>
        <w:rPr>
          <w:rFonts w:ascii="Verdana" w:hAnsi="Verdana" w:cs="Arial"/>
          <w:color w:val="222222"/>
          <w:sz w:val="20"/>
          <w:szCs w:val="20"/>
        </w:rPr>
        <w:t xml:space="preserve"> </w:t>
      </w:r>
      <w:r w:rsidRPr="00E942E2">
        <w:rPr>
          <w:rFonts w:ascii="Verdana" w:hAnsi="Verdana" w:cs="Arial"/>
          <w:color w:val="222222"/>
          <w:sz w:val="20"/>
          <w:szCs w:val="20"/>
        </w:rPr>
        <w:t>Based on a challenge by Mount Airy Casino Resort in the Poconos, the Supreme Court ruled that part of the local tax on slot machines outside Philadelphia violates the state constitution because it effectively imposes different rates on casinos depending on their size.</w:t>
      </w:r>
      <w:r>
        <w:rPr>
          <w:rFonts w:ascii="Verdana" w:hAnsi="Verdana" w:cs="Arial"/>
          <w:color w:val="222222"/>
          <w:sz w:val="20"/>
          <w:szCs w:val="20"/>
        </w:rPr>
        <w:t xml:space="preserve"> </w:t>
      </w:r>
      <w:r w:rsidRPr="00E942E2">
        <w:rPr>
          <w:rFonts w:ascii="Verdana" w:hAnsi="Verdana" w:cs="Arial"/>
          <w:color w:val="222222"/>
          <w:sz w:val="20"/>
          <w:szCs w:val="20"/>
        </w:rPr>
        <w:t>The 2004 law that legalized casino gambling in Pennsylvania requires most casinos to pay 2 percent or $10 million, whichever is greater, of slots revenues to their host municipality. The state Department of Community and Economic Development said 157 local governments received "local shares" last year. Only 137 of them filed required paperwork with the state. The amounts ranged from $13.5 million for Dauphin County, home to Hollywood Casino at Penn National Race Course, to less than $100 for four townships. </w:t>
      </w:r>
    </w:p>
    <w:p w:rsidR="00E942E2" w:rsidRDefault="00E942E2" w:rsidP="00635217">
      <w:pPr>
        <w:spacing w:after="0" w:line="240" w:lineRule="auto"/>
        <w:rPr>
          <w:rFonts w:ascii="Verdana" w:eastAsia="Verdana" w:hAnsi="Verdana" w:cs="Verdana"/>
          <w:b/>
          <w:bCs/>
          <w:spacing w:val="1"/>
          <w:position w:val="-1"/>
          <w:u w:val="thick" w:color="000000"/>
        </w:rPr>
      </w:pPr>
      <w:r>
        <w:rPr>
          <w:rFonts w:ascii="Verdana" w:eastAsia="Verdana" w:hAnsi="Verdana" w:cs="Verdana"/>
          <w:b/>
          <w:bCs/>
          <w:spacing w:val="1"/>
          <w:position w:val="-1"/>
          <w:u w:val="thick" w:color="000000"/>
        </w:rPr>
        <w:t>MEETING OF THE JOINT LEGISLATIVE BUDGET AND FINANCE COMMITTEE</w:t>
      </w:r>
    </w:p>
    <w:p w:rsidR="00E942E2" w:rsidRPr="006441F3" w:rsidRDefault="00E942E2" w:rsidP="006441F3">
      <w:pPr>
        <w:pStyle w:val="NoSpacing"/>
        <w:rPr>
          <w:rFonts w:ascii="Verdana" w:eastAsia="Verdana" w:hAnsi="Verdana"/>
          <w:sz w:val="20"/>
          <w:szCs w:val="20"/>
        </w:rPr>
      </w:pPr>
      <w:r w:rsidRPr="006441F3">
        <w:rPr>
          <w:rFonts w:ascii="Verdana" w:eastAsia="Verdana" w:hAnsi="Verdana"/>
          <w:sz w:val="20"/>
          <w:szCs w:val="20"/>
        </w:rPr>
        <w:t>There will be a meeting of the Joint Legislative Budget and Finance Committee on Wednesday, October 19</w:t>
      </w:r>
      <w:r w:rsidRPr="006441F3">
        <w:rPr>
          <w:rFonts w:ascii="Verdana" w:eastAsia="Verdana" w:hAnsi="Verdana"/>
          <w:sz w:val="20"/>
          <w:szCs w:val="20"/>
          <w:vertAlign w:val="superscript"/>
        </w:rPr>
        <w:t>th</w:t>
      </w:r>
      <w:r w:rsidRPr="006441F3">
        <w:rPr>
          <w:rFonts w:ascii="Verdana" w:eastAsia="Verdana" w:hAnsi="Verdana"/>
          <w:sz w:val="20"/>
          <w:szCs w:val="20"/>
        </w:rPr>
        <w:t xml:space="preserve"> at 9:30 in Room 8E-B of the East Wing. They are meeting to discuss the impact of Act 32 on the Collection of Local Earned Income Taxes. </w:t>
      </w:r>
    </w:p>
    <w:p w:rsidR="000D2B73" w:rsidRDefault="000D2B73" w:rsidP="00635217">
      <w:pPr>
        <w:spacing w:after="0" w:line="240" w:lineRule="auto"/>
        <w:rPr>
          <w:rFonts w:ascii="Verdana" w:eastAsia="Verdana" w:hAnsi="Verdana" w:cs="Verdana"/>
          <w:bCs/>
          <w:spacing w:val="1"/>
          <w:position w:val="-1"/>
          <w:sz w:val="20"/>
          <w:szCs w:val="20"/>
        </w:rPr>
      </w:pPr>
    </w:p>
    <w:p w:rsidR="00E942E2" w:rsidRPr="00E942E2" w:rsidRDefault="00E942E2" w:rsidP="00635217">
      <w:pPr>
        <w:spacing w:after="0" w:line="240" w:lineRule="auto"/>
        <w:rPr>
          <w:rFonts w:ascii="Verdana" w:eastAsia="Verdana" w:hAnsi="Verdana" w:cs="Verdana"/>
          <w:bCs/>
          <w:spacing w:val="1"/>
          <w:position w:val="-1"/>
          <w:sz w:val="20"/>
          <w:szCs w:val="20"/>
        </w:rPr>
      </w:pPr>
    </w:p>
    <w:p w:rsidR="00635217" w:rsidRPr="006054DC" w:rsidRDefault="00635217" w:rsidP="00635217">
      <w:pPr>
        <w:spacing w:after="0" w:line="240" w:lineRule="auto"/>
        <w:rPr>
          <w:rFonts w:ascii="Verdana" w:eastAsia="Verdana" w:hAnsi="Verdana" w:cs="Verdana"/>
        </w:rPr>
      </w:pPr>
      <w:r w:rsidRPr="006054DC">
        <w:rPr>
          <w:rFonts w:ascii="Verdana" w:eastAsia="Verdana" w:hAnsi="Verdana" w:cs="Verdana"/>
          <w:b/>
          <w:bCs/>
          <w:spacing w:val="1"/>
          <w:position w:val="-1"/>
          <w:u w:val="thick" w:color="000000"/>
        </w:rPr>
        <w:t>P</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NN</w:t>
      </w:r>
      <w:r w:rsidRPr="006054DC">
        <w:rPr>
          <w:rFonts w:ascii="Verdana" w:eastAsia="Verdana" w:hAnsi="Verdana" w:cs="Verdana"/>
          <w:b/>
          <w:bCs/>
          <w:spacing w:val="2"/>
          <w:position w:val="-1"/>
          <w:u w:val="thick" w:color="000000"/>
        </w:rPr>
        <w:t>S</w:t>
      </w:r>
      <w:r w:rsidRPr="006054DC">
        <w:rPr>
          <w:rFonts w:ascii="Verdana" w:eastAsia="Verdana" w:hAnsi="Verdana" w:cs="Verdana"/>
          <w:b/>
          <w:bCs/>
          <w:position w:val="-1"/>
          <w:u w:val="thick" w:color="000000"/>
        </w:rPr>
        <w:t>Y</w:t>
      </w:r>
      <w:r w:rsidRPr="006054DC">
        <w:rPr>
          <w:rFonts w:ascii="Verdana" w:eastAsia="Verdana" w:hAnsi="Verdana" w:cs="Verdana"/>
          <w:b/>
          <w:bCs/>
          <w:spacing w:val="-1"/>
          <w:position w:val="-1"/>
          <w:u w:val="thick" w:color="000000"/>
        </w:rPr>
        <w:t>LV</w:t>
      </w:r>
      <w:r w:rsidRPr="006054DC">
        <w:rPr>
          <w:rFonts w:ascii="Verdana" w:eastAsia="Verdana" w:hAnsi="Verdana" w:cs="Verdana"/>
          <w:b/>
          <w:bCs/>
          <w:spacing w:val="-3"/>
          <w:position w:val="-1"/>
          <w:u w:val="thick" w:color="000000"/>
        </w:rPr>
        <w:t>A</w:t>
      </w:r>
      <w:r w:rsidRPr="006054DC">
        <w:rPr>
          <w:rFonts w:ascii="Verdana" w:eastAsia="Verdana" w:hAnsi="Verdana" w:cs="Verdana"/>
          <w:b/>
          <w:bCs/>
          <w:position w:val="-1"/>
          <w:u w:val="thick" w:color="000000"/>
        </w:rPr>
        <w:t>NIA</w:t>
      </w:r>
      <w:r w:rsidRPr="006054DC">
        <w:rPr>
          <w:rFonts w:ascii="Verdana" w:eastAsia="Verdana" w:hAnsi="Verdana" w:cs="Verdana"/>
          <w:b/>
          <w:bCs/>
          <w:spacing w:val="2"/>
          <w:position w:val="-1"/>
          <w:u w:val="thick" w:color="000000"/>
        </w:rPr>
        <w:t xml:space="preserve"> </w:t>
      </w:r>
      <w:r w:rsidRPr="006054DC">
        <w:rPr>
          <w:rFonts w:ascii="Verdana" w:eastAsia="Verdana" w:hAnsi="Verdana" w:cs="Verdana"/>
          <w:b/>
          <w:bCs/>
          <w:spacing w:val="-2"/>
          <w:position w:val="-1"/>
          <w:u w:val="thick" w:color="000000"/>
        </w:rPr>
        <w:t>GE</w:t>
      </w:r>
      <w:r w:rsidRPr="006054DC">
        <w:rPr>
          <w:rFonts w:ascii="Verdana" w:eastAsia="Verdana" w:hAnsi="Verdana" w:cs="Verdana"/>
          <w:b/>
          <w:bCs/>
          <w:position w:val="-1"/>
          <w:u w:val="thick" w:color="000000"/>
        </w:rPr>
        <w:t>N</w:t>
      </w:r>
      <w:r w:rsidRPr="006054DC">
        <w:rPr>
          <w:rFonts w:ascii="Verdana" w:eastAsia="Verdana" w:hAnsi="Verdana" w:cs="Verdana"/>
          <w:b/>
          <w:bCs/>
          <w:spacing w:val="-2"/>
          <w:position w:val="-1"/>
          <w:u w:val="thick" w:color="000000"/>
        </w:rPr>
        <w:t>E</w:t>
      </w:r>
      <w:r w:rsidRPr="006054DC">
        <w:rPr>
          <w:rFonts w:ascii="Verdana" w:eastAsia="Verdana" w:hAnsi="Verdana" w:cs="Verdana"/>
          <w:b/>
          <w:bCs/>
          <w:position w:val="-1"/>
          <w:u w:val="thick" w:color="000000"/>
        </w:rPr>
        <w:t>R</w:t>
      </w:r>
      <w:r w:rsidRPr="006054DC">
        <w:rPr>
          <w:rFonts w:ascii="Verdana" w:eastAsia="Verdana" w:hAnsi="Verdana" w:cs="Verdana"/>
          <w:b/>
          <w:bCs/>
          <w:spacing w:val="1"/>
          <w:position w:val="-1"/>
          <w:u w:val="thick" w:color="000000"/>
        </w:rPr>
        <w:t>A</w:t>
      </w:r>
      <w:r w:rsidRPr="006054DC">
        <w:rPr>
          <w:rFonts w:ascii="Verdana" w:eastAsia="Verdana" w:hAnsi="Verdana" w:cs="Verdana"/>
          <w:b/>
          <w:bCs/>
          <w:position w:val="-1"/>
          <w:u w:val="thick" w:color="000000"/>
        </w:rPr>
        <w:t>L</w:t>
      </w:r>
      <w:r w:rsidRPr="006054DC">
        <w:rPr>
          <w:rFonts w:ascii="Verdana" w:eastAsia="Verdana" w:hAnsi="Verdana" w:cs="Verdana"/>
          <w:b/>
          <w:bCs/>
          <w:spacing w:val="-5"/>
          <w:position w:val="-1"/>
          <w:u w:val="thick" w:color="000000"/>
        </w:rPr>
        <w:t xml:space="preserve"> </w:t>
      </w:r>
      <w:r w:rsidRPr="006054DC">
        <w:rPr>
          <w:rFonts w:ascii="Verdana" w:eastAsia="Verdana" w:hAnsi="Verdana" w:cs="Verdana"/>
          <w:b/>
          <w:bCs/>
          <w:spacing w:val="1"/>
          <w:position w:val="-1"/>
          <w:u w:val="thick" w:color="000000"/>
        </w:rPr>
        <w:t>A</w:t>
      </w:r>
      <w:r w:rsidRPr="006054DC">
        <w:rPr>
          <w:rFonts w:ascii="Verdana" w:eastAsia="Verdana" w:hAnsi="Verdana" w:cs="Verdana"/>
          <w:b/>
          <w:bCs/>
          <w:spacing w:val="-3"/>
          <w:position w:val="-1"/>
          <w:u w:val="thick" w:color="000000"/>
        </w:rPr>
        <w:t>S</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2"/>
          <w:position w:val="-1"/>
          <w:u w:val="thick" w:color="000000"/>
        </w:rPr>
        <w:t>M</w:t>
      </w:r>
      <w:r w:rsidRPr="006054DC">
        <w:rPr>
          <w:rFonts w:ascii="Verdana" w:eastAsia="Verdana" w:hAnsi="Verdana" w:cs="Verdana"/>
          <w:b/>
          <w:bCs/>
          <w:position w:val="-1"/>
          <w:u w:val="thick" w:color="000000"/>
        </w:rPr>
        <w:t>B</w:t>
      </w:r>
      <w:r w:rsidRPr="006054DC">
        <w:rPr>
          <w:rFonts w:ascii="Verdana" w:eastAsia="Verdana" w:hAnsi="Verdana" w:cs="Verdana"/>
          <w:b/>
          <w:bCs/>
          <w:spacing w:val="-2"/>
          <w:position w:val="-1"/>
          <w:u w:val="thick" w:color="000000"/>
        </w:rPr>
        <w:t>L</w:t>
      </w:r>
      <w:r w:rsidRPr="006054DC">
        <w:rPr>
          <w:rFonts w:ascii="Verdana" w:eastAsia="Verdana" w:hAnsi="Verdana" w:cs="Verdana"/>
          <w:b/>
          <w:bCs/>
          <w:position w:val="-1"/>
          <w:u w:val="thick" w:color="000000"/>
        </w:rPr>
        <w:t>Y</w:t>
      </w:r>
      <w:r w:rsidRPr="006054DC">
        <w:rPr>
          <w:rFonts w:ascii="Verdana" w:eastAsia="Verdana" w:hAnsi="Verdana" w:cs="Verdana"/>
          <w:b/>
          <w:bCs/>
          <w:spacing w:val="-3"/>
          <w:position w:val="-1"/>
          <w:u w:val="thick" w:color="000000"/>
        </w:rPr>
        <w:t xml:space="preserve"> S</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SS</w:t>
      </w:r>
      <w:r w:rsidRPr="006054DC">
        <w:rPr>
          <w:rFonts w:ascii="Verdana" w:eastAsia="Verdana" w:hAnsi="Verdana" w:cs="Verdana"/>
          <w:b/>
          <w:bCs/>
          <w:position w:val="-1"/>
          <w:u w:val="thick" w:color="000000"/>
        </w:rPr>
        <w:t>I</w:t>
      </w:r>
      <w:r w:rsidRPr="006054DC">
        <w:rPr>
          <w:rFonts w:ascii="Verdana" w:eastAsia="Verdana" w:hAnsi="Verdana" w:cs="Verdana"/>
          <w:b/>
          <w:bCs/>
          <w:spacing w:val="-1"/>
          <w:position w:val="-1"/>
          <w:u w:val="thick" w:color="000000"/>
        </w:rPr>
        <w:t>O</w:t>
      </w:r>
      <w:r w:rsidRPr="006054DC">
        <w:rPr>
          <w:rFonts w:ascii="Verdana" w:eastAsia="Verdana" w:hAnsi="Verdana" w:cs="Verdana"/>
          <w:b/>
          <w:bCs/>
          <w:position w:val="-1"/>
          <w:u w:val="thick" w:color="000000"/>
        </w:rPr>
        <w:t>N</w:t>
      </w:r>
      <w:r w:rsidRPr="006054DC">
        <w:rPr>
          <w:rFonts w:ascii="Verdana" w:eastAsia="Verdana" w:hAnsi="Verdana" w:cs="Verdana"/>
          <w:b/>
          <w:bCs/>
          <w:spacing w:val="-3"/>
          <w:position w:val="-1"/>
          <w:u w:val="thick" w:color="000000"/>
        </w:rPr>
        <w:t xml:space="preserve"> </w:t>
      </w:r>
      <w:r w:rsidRPr="006054DC">
        <w:rPr>
          <w:rFonts w:ascii="Verdana" w:eastAsia="Verdana" w:hAnsi="Verdana" w:cs="Verdana"/>
          <w:b/>
          <w:bCs/>
          <w:spacing w:val="1"/>
          <w:position w:val="-1"/>
          <w:u w:val="thick" w:color="000000"/>
        </w:rPr>
        <w:t>S</w:t>
      </w:r>
      <w:r w:rsidRPr="006054DC">
        <w:rPr>
          <w:rFonts w:ascii="Verdana" w:eastAsia="Verdana" w:hAnsi="Verdana" w:cs="Verdana"/>
          <w:b/>
          <w:bCs/>
          <w:spacing w:val="-2"/>
          <w:position w:val="-1"/>
          <w:u w:val="thick" w:color="000000"/>
        </w:rPr>
        <w:t>C</w:t>
      </w:r>
      <w:r w:rsidRPr="006054DC">
        <w:rPr>
          <w:rFonts w:ascii="Verdana" w:eastAsia="Verdana" w:hAnsi="Verdana" w:cs="Verdana"/>
          <w:b/>
          <w:bCs/>
          <w:spacing w:val="2"/>
          <w:position w:val="-1"/>
          <w:u w:val="thick" w:color="000000"/>
        </w:rPr>
        <w:t>H</w:t>
      </w:r>
      <w:r w:rsidRPr="006054DC">
        <w:rPr>
          <w:rFonts w:ascii="Verdana" w:eastAsia="Verdana" w:hAnsi="Verdana" w:cs="Verdana"/>
          <w:b/>
          <w:bCs/>
          <w:spacing w:val="-2"/>
          <w:position w:val="-1"/>
          <w:u w:val="thick" w:color="000000"/>
        </w:rPr>
        <w:t>E</w:t>
      </w:r>
      <w:r w:rsidRPr="006054DC">
        <w:rPr>
          <w:rFonts w:ascii="Verdana" w:eastAsia="Verdana" w:hAnsi="Verdana" w:cs="Verdana"/>
          <w:b/>
          <w:bCs/>
          <w:spacing w:val="-1"/>
          <w:position w:val="-1"/>
          <w:u w:val="thick" w:color="000000"/>
        </w:rPr>
        <w:t>D</w:t>
      </w:r>
      <w:r w:rsidRPr="006054DC">
        <w:rPr>
          <w:rFonts w:ascii="Verdana" w:eastAsia="Verdana" w:hAnsi="Verdana" w:cs="Verdana"/>
          <w:b/>
          <w:bCs/>
          <w:spacing w:val="-2"/>
          <w:position w:val="-1"/>
          <w:u w:val="thick" w:color="000000"/>
        </w:rPr>
        <w:t>UL</w:t>
      </w:r>
      <w:r w:rsidRPr="006054DC">
        <w:rPr>
          <w:rFonts w:ascii="Verdana" w:eastAsia="Verdana" w:hAnsi="Verdana" w:cs="Verdana"/>
          <w:b/>
          <w:bCs/>
          <w:spacing w:val="4"/>
          <w:position w:val="-1"/>
          <w:u w:val="thick" w:color="000000"/>
        </w:rPr>
        <w:t>E</w:t>
      </w:r>
      <w:r w:rsidRPr="006054DC">
        <w:rPr>
          <w:rFonts w:ascii="Verdana" w:eastAsia="Verdana" w:hAnsi="Verdana" w:cs="Verdana"/>
          <w:b/>
          <w:bCs/>
          <w:position w:val="-1"/>
        </w:rPr>
        <w:t>:</w:t>
      </w:r>
    </w:p>
    <w:p w:rsidR="00B7758B" w:rsidRPr="006054DC" w:rsidRDefault="00B7758B" w:rsidP="00B7758B">
      <w:pPr>
        <w:pStyle w:val="NoSpacing"/>
        <w:spacing w:before="0" w:beforeAutospacing="0" w:after="0" w:afterAutospacing="0"/>
        <w:rPr>
          <w:u w:val="single"/>
        </w:rPr>
      </w:pP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SENATE SESSION SCHEDULE</w:t>
      </w:r>
    </w:p>
    <w:p w:rsidR="00B7758B" w:rsidRPr="006054DC" w:rsidRDefault="00B7758B" w:rsidP="00B7758B">
      <w:pPr>
        <w:pStyle w:val="NoSpacing"/>
        <w:spacing w:before="0" w:beforeAutospacing="0" w:after="0" w:afterAutospacing="0"/>
        <w:rPr>
          <w:rFonts w:ascii="Verdana" w:hAnsi="Verdana"/>
          <w:sz w:val="20"/>
          <w:u w:val="single"/>
        </w:rPr>
      </w:pP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October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17, 18, 19, 24, 25, 26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November</w:t>
      </w:r>
      <w:r w:rsidRPr="006054DC">
        <w:rPr>
          <w:rFonts w:ascii="Verdana" w:hAnsi="Verdana"/>
          <w:b/>
          <w:bCs/>
          <w:sz w:val="20"/>
          <w:u w:val="single"/>
        </w:rPr>
        <w:t> </w:t>
      </w:r>
      <w:r w:rsidRPr="006054DC">
        <w:rPr>
          <w:rFonts w:ascii="Verdana" w:hAnsi="Verdana"/>
          <w:b/>
          <w:bCs/>
          <w:sz w:val="20"/>
        </w:rPr>
        <w:t>     </w:t>
      </w:r>
      <w:r w:rsidRPr="006054DC">
        <w:rPr>
          <w:rStyle w:val="apple-converted-space"/>
          <w:rFonts w:ascii="Verdana" w:hAnsi="Verdana"/>
          <w:b/>
          <w:bCs/>
          <w:sz w:val="20"/>
        </w:rPr>
        <w:t> </w:t>
      </w:r>
      <w:r w:rsidRPr="006054DC">
        <w:rPr>
          <w:rFonts w:ascii="Verdana" w:hAnsi="Verdana"/>
          <w:sz w:val="20"/>
        </w:rPr>
        <w:t>16</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b/>
          <w:sz w:val="18"/>
          <w:szCs w:val="22"/>
        </w:rPr>
      </w:pPr>
      <w:r w:rsidRPr="006054DC">
        <w:rPr>
          <w:rFonts w:ascii="Verdana" w:hAnsi="Verdana"/>
          <w:b/>
          <w:sz w:val="20"/>
        </w:rPr>
        <w:t>2016 HOUSE SESSION SCHEDULE</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rPr>
        <w:t> </w:t>
      </w:r>
    </w:p>
    <w:p w:rsidR="00B7758B" w:rsidRPr="006054DC" w:rsidRDefault="00B7758B" w:rsidP="00B7758B">
      <w:pPr>
        <w:pStyle w:val="NoSpacing"/>
        <w:spacing w:before="0" w:beforeAutospacing="0" w:after="0" w:afterAutospacing="0"/>
        <w:rPr>
          <w:rFonts w:ascii="Verdana" w:hAnsi="Verdana"/>
          <w:sz w:val="18"/>
          <w:szCs w:val="22"/>
        </w:rPr>
      </w:pPr>
      <w:r w:rsidRPr="006054DC">
        <w:rPr>
          <w:rFonts w:ascii="Verdana" w:hAnsi="Verdana"/>
          <w:sz w:val="20"/>
          <w:u w:val="single"/>
        </w:rPr>
        <w:t>October </w:t>
      </w:r>
      <w:r w:rsidRPr="006054DC">
        <w:rPr>
          <w:rFonts w:ascii="Verdana" w:hAnsi="Verdana"/>
          <w:sz w:val="20"/>
        </w:rPr>
        <w:t>         </w:t>
      </w:r>
      <w:r w:rsidR="003F6EBE" w:rsidRPr="006054DC">
        <w:rPr>
          <w:rStyle w:val="apple-converted-space"/>
          <w:rFonts w:ascii="Verdana" w:hAnsi="Verdana"/>
          <w:sz w:val="20"/>
        </w:rPr>
        <w:t xml:space="preserve"> </w:t>
      </w:r>
      <w:r w:rsidRPr="006054DC">
        <w:rPr>
          <w:rFonts w:ascii="Verdana" w:hAnsi="Verdana"/>
          <w:bCs/>
          <w:sz w:val="20"/>
        </w:rPr>
        <w:t>17, 18, 19, 24, 25, 26</w:t>
      </w:r>
    </w:p>
    <w:p w:rsidR="00A43531" w:rsidRPr="006054DC" w:rsidRDefault="00B7758B" w:rsidP="008703AE">
      <w:pPr>
        <w:pStyle w:val="NoSpacing"/>
        <w:spacing w:before="0" w:beforeAutospacing="0" w:after="0" w:afterAutospacing="0"/>
        <w:rPr>
          <w:rFonts w:ascii="Verdana" w:hAnsi="Verdana"/>
          <w:bCs/>
          <w:sz w:val="20"/>
        </w:rPr>
      </w:pPr>
      <w:r w:rsidRPr="006054DC">
        <w:rPr>
          <w:rFonts w:ascii="Verdana" w:hAnsi="Verdana"/>
          <w:sz w:val="20"/>
          <w:u w:val="single"/>
        </w:rPr>
        <w:t>November</w:t>
      </w:r>
      <w:r w:rsidRPr="006054DC">
        <w:rPr>
          <w:rFonts w:ascii="Verdana" w:hAnsi="Verdana"/>
          <w:sz w:val="20"/>
        </w:rPr>
        <w:t>      </w:t>
      </w:r>
      <w:r w:rsidRPr="006054DC">
        <w:rPr>
          <w:rStyle w:val="apple-converted-space"/>
          <w:rFonts w:ascii="Verdana" w:hAnsi="Verdana"/>
          <w:sz w:val="20"/>
        </w:rPr>
        <w:t> </w:t>
      </w:r>
      <w:r w:rsidRPr="006054DC">
        <w:rPr>
          <w:rFonts w:ascii="Verdana" w:hAnsi="Verdana"/>
          <w:bCs/>
          <w:sz w:val="20"/>
        </w:rPr>
        <w:t>14, 15</w:t>
      </w:r>
    </w:p>
    <w:p w:rsidR="000D6B5C" w:rsidRPr="006054DC" w:rsidRDefault="000D6B5C" w:rsidP="00635217">
      <w:pPr>
        <w:spacing w:after="0" w:line="240" w:lineRule="auto"/>
        <w:rPr>
          <w:rFonts w:ascii="Verdana" w:eastAsia="Verdana" w:hAnsi="Verdana" w:cs="Verdana"/>
          <w:bCs/>
          <w:i/>
          <w:position w:val="-2"/>
          <w:sz w:val="20"/>
          <w:szCs w:val="20"/>
        </w:rPr>
      </w:pPr>
    </w:p>
    <w:p w:rsidR="0096653C" w:rsidRPr="006054DC" w:rsidRDefault="0096653C" w:rsidP="00635217">
      <w:pPr>
        <w:spacing w:after="0" w:line="240" w:lineRule="auto"/>
        <w:rPr>
          <w:rFonts w:ascii="Verdana" w:eastAsia="Verdana" w:hAnsi="Verdana" w:cs="Verdana"/>
          <w:bCs/>
          <w:i/>
          <w:position w:val="-2"/>
          <w:sz w:val="20"/>
          <w:szCs w:val="20"/>
        </w:rPr>
      </w:pPr>
    </w:p>
    <w:p w:rsidR="00B409D4" w:rsidRPr="006054DC" w:rsidRDefault="00DA105A" w:rsidP="00BE6BEC">
      <w:pPr>
        <w:spacing w:after="0" w:line="240" w:lineRule="auto"/>
        <w:rPr>
          <w:rFonts w:ascii="Verdana" w:eastAsia="Verdana" w:hAnsi="Verdana" w:cs="Verdana"/>
          <w:b/>
          <w:bCs/>
          <w:position w:val="-2"/>
          <w:u w:val="thick" w:color="000000"/>
        </w:rPr>
      </w:pPr>
      <w:r w:rsidRPr="006054DC">
        <w:rPr>
          <w:rFonts w:ascii="Verdana" w:eastAsia="Verdana" w:hAnsi="Verdana" w:cs="Verdana"/>
          <w:b/>
          <w:bCs/>
          <w:position w:val="-2"/>
          <w:u w:val="thick" w:color="000000"/>
        </w:rPr>
        <w:t>DEPARTMENT OF REVENUE UPDATE</w:t>
      </w:r>
    </w:p>
    <w:p w:rsidR="003F6EBE" w:rsidRPr="006054DC" w:rsidRDefault="003F6EBE" w:rsidP="00BE6BEC">
      <w:pPr>
        <w:spacing w:after="0" w:line="240" w:lineRule="auto"/>
        <w:rPr>
          <w:rFonts w:ascii="Verdana" w:eastAsia="Verdana" w:hAnsi="Verdana" w:cs="Verdana"/>
          <w:bCs/>
          <w:position w:val="-2"/>
          <w:sz w:val="20"/>
          <w:szCs w:val="20"/>
        </w:rPr>
      </w:pPr>
    </w:p>
    <w:p w:rsidR="00BE6BEC" w:rsidRPr="006054DC" w:rsidRDefault="003F6EBE" w:rsidP="00BE6BEC">
      <w:pPr>
        <w:spacing w:after="0" w:line="240" w:lineRule="auto"/>
        <w:rPr>
          <w:rFonts w:ascii="Verdana" w:eastAsia="Verdana" w:hAnsi="Verdana" w:cs="Verdana"/>
          <w:bCs/>
          <w:position w:val="-2"/>
          <w:sz w:val="20"/>
          <w:szCs w:val="20"/>
        </w:rPr>
      </w:pPr>
      <w:r w:rsidRPr="006054DC">
        <w:rPr>
          <w:rFonts w:ascii="Verdana" w:eastAsia="Verdana" w:hAnsi="Verdana" w:cs="Verdana"/>
          <w:bCs/>
          <w:position w:val="-2"/>
          <w:sz w:val="20"/>
          <w:szCs w:val="20"/>
        </w:rPr>
        <w:t>None</w:t>
      </w:r>
    </w:p>
    <w:p w:rsidR="003C4813" w:rsidRDefault="003C481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Default="000D2B73" w:rsidP="00BE6BEC">
      <w:pPr>
        <w:spacing w:after="0" w:line="240" w:lineRule="auto"/>
        <w:rPr>
          <w:rFonts w:ascii="Verdana" w:eastAsia="Verdana" w:hAnsi="Verdana" w:cs="Verdana"/>
          <w:bCs/>
          <w:position w:val="-2"/>
          <w:sz w:val="20"/>
          <w:szCs w:val="20"/>
        </w:rPr>
      </w:pPr>
    </w:p>
    <w:p w:rsidR="000D2B73" w:rsidRPr="006054DC" w:rsidRDefault="000D2B73" w:rsidP="00BE6BEC">
      <w:pPr>
        <w:spacing w:after="0" w:line="240" w:lineRule="auto"/>
        <w:rPr>
          <w:rFonts w:ascii="Verdana" w:eastAsia="Verdana" w:hAnsi="Verdana" w:cs="Verdana"/>
          <w:bCs/>
          <w:position w:val="-2"/>
          <w:sz w:val="20"/>
          <w:szCs w:val="20"/>
        </w:rPr>
      </w:pPr>
    </w:p>
    <w:p w:rsidR="00423337" w:rsidRPr="006054DC" w:rsidRDefault="00423337" w:rsidP="00635217">
      <w:pPr>
        <w:spacing w:after="0" w:line="240" w:lineRule="auto"/>
        <w:rPr>
          <w:rFonts w:ascii="Verdana" w:eastAsia="Verdana" w:hAnsi="Verdana" w:cs="Verdana"/>
          <w:b/>
          <w:bCs/>
          <w:position w:val="-2"/>
          <w:u w:val="thick" w:color="000000"/>
        </w:rPr>
      </w:pPr>
    </w:p>
    <w:p w:rsidR="00716337" w:rsidRPr="006054DC" w:rsidRDefault="00635217" w:rsidP="00BE6BEC">
      <w:pPr>
        <w:rPr>
          <w:rFonts w:ascii="Verdana" w:eastAsia="Verdana" w:hAnsi="Verdana" w:cs="Verdana"/>
          <w:b/>
          <w:bCs/>
          <w:spacing w:val="1"/>
          <w:position w:val="-1"/>
          <w:u w:val="thick" w:color="000000"/>
        </w:rPr>
      </w:pPr>
      <w:r w:rsidRPr="006054DC">
        <w:rPr>
          <w:rFonts w:ascii="Verdana" w:eastAsia="Verdana" w:hAnsi="Verdana" w:cs="Verdana"/>
          <w:b/>
          <w:bCs/>
          <w:spacing w:val="1"/>
          <w:position w:val="-1"/>
          <w:u w:val="thick" w:color="000000"/>
        </w:rPr>
        <w:t>IRRC UPDATES</w:t>
      </w:r>
    </w:p>
    <w:p w:rsidR="00A406DA" w:rsidRPr="00A406DA" w:rsidRDefault="00B17C0E" w:rsidP="00B17C0E">
      <w:pPr>
        <w:pStyle w:val="Heading3"/>
        <w:shd w:val="clear" w:color="auto" w:fill="FFFFFF"/>
        <w:rPr>
          <w:rFonts w:ascii="Verdana" w:hAnsi="Verdana"/>
          <w:color w:val="000000"/>
          <w:sz w:val="20"/>
          <w:szCs w:val="20"/>
        </w:rPr>
      </w:pPr>
      <w:r>
        <w:rPr>
          <w:rFonts w:ascii="Verdana" w:hAnsi="Verdana"/>
          <w:color w:val="000000"/>
          <w:sz w:val="20"/>
          <w:szCs w:val="20"/>
        </w:rPr>
        <w:t>Notice of Comments Issued</w:t>
      </w:r>
    </w:p>
    <w:p w:rsidR="00B17C0E" w:rsidRPr="006441F3" w:rsidRDefault="00A406DA" w:rsidP="006441F3">
      <w:pPr>
        <w:pStyle w:val="NoSpacing"/>
        <w:rPr>
          <w:rFonts w:ascii="Verdana" w:hAnsi="Verdana"/>
          <w:sz w:val="20"/>
          <w:szCs w:val="20"/>
        </w:rPr>
      </w:pPr>
      <w:r w:rsidRPr="006441F3">
        <w:rPr>
          <w:rFonts w:ascii="Verdana" w:hAnsi="Verdana"/>
          <w:sz w:val="20"/>
          <w:szCs w:val="20"/>
        </w:rPr>
        <w:t>Section 5(g) of the Regulatory Review Act (71 P.S. §</w:t>
      </w:r>
      <w:r w:rsidRPr="006441F3">
        <w:rPr>
          <w:sz w:val="20"/>
          <w:szCs w:val="20"/>
        </w:rPr>
        <w:t> </w:t>
      </w:r>
      <w:r w:rsidRPr="006441F3">
        <w:rPr>
          <w:rFonts w:ascii="Verdana" w:hAnsi="Verdana"/>
          <w:sz w:val="20"/>
          <w:szCs w:val="20"/>
        </w:rPr>
        <w:t>745.5(g)) provides that the Independent Regulatory Review Commission (Commission) may issue comments within 30 days of the close of the public comment period. The Commission comments are based upon the criteria contained in section 5.2 of the Regulatory Review Act (71 P.S. §</w:t>
      </w:r>
      <w:r w:rsidRPr="006441F3">
        <w:rPr>
          <w:sz w:val="20"/>
          <w:szCs w:val="20"/>
        </w:rPr>
        <w:t> </w:t>
      </w:r>
      <w:r w:rsidRPr="006441F3">
        <w:rPr>
          <w:rFonts w:ascii="Verdana" w:hAnsi="Verdana"/>
          <w:sz w:val="20"/>
          <w:szCs w:val="20"/>
        </w:rPr>
        <w:t>745.5b).</w:t>
      </w:r>
    </w:p>
    <w:p w:rsidR="00A406DA" w:rsidRPr="006441F3" w:rsidRDefault="00A406DA" w:rsidP="006441F3">
      <w:pPr>
        <w:pStyle w:val="NoSpacing"/>
        <w:rPr>
          <w:rFonts w:ascii="Verdana" w:hAnsi="Verdana"/>
          <w:sz w:val="20"/>
          <w:szCs w:val="20"/>
        </w:rPr>
      </w:pPr>
      <w:r w:rsidRPr="006441F3">
        <w:rPr>
          <w:rFonts w:ascii="Verdana" w:hAnsi="Verdana"/>
          <w:sz w:val="20"/>
          <w:szCs w:val="20"/>
        </w:rPr>
        <w:t>The Commission has issued comments on the following proposed regulation. The agency must consider these comments in preparing the final-form regulation. The final-form regulation must be submitted within 2 years of the close of the public comment period or it will be deemed withdrawn.</w:t>
      </w:r>
    </w:p>
    <w:p w:rsidR="00B17C0E" w:rsidRPr="006441F3" w:rsidRDefault="00B17C0E" w:rsidP="006441F3">
      <w:pPr>
        <w:pStyle w:val="NoSpacing"/>
        <w:rPr>
          <w:rFonts w:ascii="Verdana" w:hAnsi="Verdana"/>
          <w:sz w:val="20"/>
          <w:szCs w:val="20"/>
        </w:rPr>
      </w:pPr>
      <w:r w:rsidRPr="006441F3">
        <w:rPr>
          <w:rFonts w:ascii="Verdana" w:hAnsi="Verdana"/>
          <w:sz w:val="20"/>
          <w:szCs w:val="20"/>
        </w:rPr>
        <w:t xml:space="preserve">The comments can be found </w:t>
      </w:r>
      <w:hyperlink r:id="rId12" w:history="1">
        <w:r w:rsidRPr="006441F3">
          <w:rPr>
            <w:rStyle w:val="Hyperlink"/>
            <w:rFonts w:ascii="Verdana" w:hAnsi="Verdana"/>
            <w:sz w:val="20"/>
            <w:szCs w:val="20"/>
          </w:rPr>
          <w:t>HERE</w:t>
        </w:r>
      </w:hyperlink>
      <w:r w:rsidRPr="006441F3">
        <w:rPr>
          <w:rFonts w:ascii="Verdana" w:hAnsi="Verdana"/>
          <w:sz w:val="20"/>
          <w:szCs w:val="20"/>
        </w:rPr>
        <w:t xml:space="preserve">.  </w:t>
      </w:r>
    </w:p>
    <w:tbl>
      <w:tblPr>
        <w:tblW w:w="0" w:type="auto"/>
        <w:tblCellSpacing w:w="15" w:type="dxa"/>
        <w:shd w:val="clear" w:color="auto" w:fill="FFFFFF"/>
        <w:tblCellMar>
          <w:top w:w="15" w:type="dxa"/>
          <w:left w:w="15" w:type="dxa"/>
          <w:bottom w:w="15" w:type="dxa"/>
          <w:right w:w="15" w:type="dxa"/>
        </w:tblCellMar>
        <w:tblLook w:val="04A0"/>
      </w:tblPr>
      <w:tblGrid>
        <w:gridCol w:w="2124"/>
        <w:gridCol w:w="30"/>
        <w:gridCol w:w="3131"/>
        <w:gridCol w:w="30"/>
        <w:gridCol w:w="1925"/>
        <w:gridCol w:w="1596"/>
      </w:tblGrid>
      <w:tr w:rsidR="00B17C0E" w:rsidRPr="00A406DA" w:rsidTr="00A406DA">
        <w:trPr>
          <w:gridAfter w:val="3"/>
          <w:tblCellSpacing w:w="15" w:type="dxa"/>
        </w:trPr>
        <w:tc>
          <w:tcPr>
            <w:tcW w:w="0" w:type="auto"/>
            <w:gridSpan w:val="2"/>
            <w:shd w:val="clear" w:color="auto" w:fill="FFFFFF"/>
            <w:vAlign w:val="bottom"/>
            <w:hideMark/>
          </w:tcPr>
          <w:p w:rsidR="00B17C0E" w:rsidRPr="00A406DA" w:rsidRDefault="00B17C0E" w:rsidP="00B17C0E">
            <w:pPr>
              <w:jc w:val="both"/>
              <w:rPr>
                <w:rFonts w:ascii="Verdana" w:hAnsi="Verdana"/>
                <w:b/>
                <w:bCs/>
                <w:sz w:val="20"/>
                <w:szCs w:val="20"/>
              </w:rPr>
            </w:pPr>
            <w:r w:rsidRPr="00A406DA">
              <w:rPr>
                <w:rFonts w:ascii="Verdana" w:hAnsi="Verdana"/>
                <w:b/>
                <w:bCs/>
                <w:sz w:val="20"/>
                <w:szCs w:val="20"/>
              </w:rPr>
              <w:t>Close of the Public</w:t>
            </w:r>
          </w:p>
        </w:tc>
        <w:tc>
          <w:tcPr>
            <w:tcW w:w="0" w:type="auto"/>
            <w:shd w:val="clear" w:color="auto" w:fill="FFFFFF"/>
            <w:vAlign w:val="bottom"/>
            <w:hideMark/>
          </w:tcPr>
          <w:p w:rsidR="00B17C0E" w:rsidRPr="00A406DA" w:rsidRDefault="00B17C0E" w:rsidP="00B17C0E">
            <w:pPr>
              <w:rPr>
                <w:rFonts w:ascii="Verdana" w:hAnsi="Verdana"/>
                <w:b/>
                <w:bCs/>
                <w:sz w:val="20"/>
                <w:szCs w:val="20"/>
              </w:rPr>
            </w:pPr>
            <w:r>
              <w:rPr>
                <w:rFonts w:ascii="Verdana" w:hAnsi="Verdana"/>
                <w:b/>
                <w:bCs/>
                <w:sz w:val="20"/>
                <w:szCs w:val="20"/>
              </w:rPr>
              <w:t xml:space="preserve"> </w:t>
            </w:r>
            <w:r w:rsidRPr="00A406DA">
              <w:rPr>
                <w:rFonts w:ascii="Verdana" w:hAnsi="Verdana"/>
                <w:b/>
                <w:bCs/>
                <w:sz w:val="20"/>
                <w:szCs w:val="20"/>
              </w:rPr>
              <w:t>IRRC Comments</w:t>
            </w:r>
          </w:p>
        </w:tc>
      </w:tr>
      <w:tr w:rsidR="00A406DA" w:rsidRPr="00A406DA" w:rsidTr="00A406DA">
        <w:trPr>
          <w:tblCellSpacing w:w="15" w:type="dxa"/>
        </w:trPr>
        <w:tc>
          <w:tcPr>
            <w:tcW w:w="0" w:type="auto"/>
            <w:shd w:val="clear" w:color="auto" w:fill="FFFFFF"/>
            <w:vAlign w:val="bottom"/>
            <w:hideMark/>
          </w:tcPr>
          <w:p w:rsidR="00A406DA" w:rsidRPr="00A406DA" w:rsidRDefault="00A406DA">
            <w:pPr>
              <w:jc w:val="center"/>
              <w:rPr>
                <w:rFonts w:ascii="Verdana" w:hAnsi="Verdana"/>
                <w:b/>
                <w:bCs/>
                <w:sz w:val="20"/>
                <w:szCs w:val="20"/>
              </w:rPr>
            </w:pPr>
            <w:r w:rsidRPr="00A406DA">
              <w:rPr>
                <w:rFonts w:ascii="Verdana" w:hAnsi="Verdana"/>
                <w:b/>
                <w:bCs/>
                <w:sz w:val="20"/>
                <w:szCs w:val="20"/>
              </w:rPr>
              <w:t>Reg. No.</w:t>
            </w:r>
          </w:p>
        </w:tc>
        <w:tc>
          <w:tcPr>
            <w:tcW w:w="0" w:type="auto"/>
            <w:gridSpan w:val="3"/>
            <w:shd w:val="clear" w:color="auto" w:fill="FFFFFF"/>
            <w:vAlign w:val="bottom"/>
            <w:hideMark/>
          </w:tcPr>
          <w:p w:rsidR="00A406DA" w:rsidRPr="00A406DA" w:rsidRDefault="00B17C0E" w:rsidP="00B17C0E">
            <w:pPr>
              <w:rPr>
                <w:rFonts w:ascii="Verdana" w:hAnsi="Verdana"/>
                <w:b/>
                <w:bCs/>
                <w:sz w:val="20"/>
                <w:szCs w:val="20"/>
              </w:rPr>
            </w:pPr>
            <w:r>
              <w:rPr>
                <w:rFonts w:ascii="Verdana" w:hAnsi="Verdana"/>
                <w:b/>
                <w:bCs/>
                <w:sz w:val="20"/>
                <w:szCs w:val="20"/>
              </w:rPr>
              <w:t xml:space="preserve">           </w:t>
            </w:r>
            <w:r w:rsidR="00A406DA" w:rsidRPr="00A406DA">
              <w:rPr>
                <w:rFonts w:ascii="Verdana" w:hAnsi="Verdana"/>
                <w:b/>
                <w:bCs/>
                <w:sz w:val="20"/>
                <w:szCs w:val="20"/>
              </w:rPr>
              <w:t>Agency/Title</w:t>
            </w:r>
          </w:p>
        </w:tc>
        <w:tc>
          <w:tcPr>
            <w:tcW w:w="0" w:type="auto"/>
            <w:shd w:val="clear" w:color="auto" w:fill="FFFFFF"/>
            <w:vAlign w:val="bottom"/>
            <w:hideMark/>
          </w:tcPr>
          <w:p w:rsidR="00A406DA" w:rsidRPr="00A406DA" w:rsidRDefault="00A406DA">
            <w:pPr>
              <w:jc w:val="center"/>
              <w:rPr>
                <w:rFonts w:ascii="Verdana" w:hAnsi="Verdana"/>
                <w:b/>
                <w:bCs/>
                <w:sz w:val="20"/>
                <w:szCs w:val="20"/>
              </w:rPr>
            </w:pPr>
            <w:r w:rsidRPr="00A406DA">
              <w:rPr>
                <w:rFonts w:ascii="Verdana" w:hAnsi="Verdana"/>
                <w:b/>
                <w:bCs/>
                <w:sz w:val="20"/>
                <w:szCs w:val="20"/>
              </w:rPr>
              <w:t>Comment Period</w:t>
            </w:r>
          </w:p>
        </w:tc>
        <w:tc>
          <w:tcPr>
            <w:tcW w:w="0" w:type="auto"/>
            <w:shd w:val="clear" w:color="auto" w:fill="FFFFFF"/>
            <w:vAlign w:val="bottom"/>
            <w:hideMark/>
          </w:tcPr>
          <w:p w:rsidR="00A406DA" w:rsidRPr="00A406DA" w:rsidRDefault="00B17C0E">
            <w:pPr>
              <w:jc w:val="center"/>
              <w:rPr>
                <w:rFonts w:ascii="Verdana" w:hAnsi="Verdana"/>
                <w:b/>
                <w:bCs/>
                <w:sz w:val="20"/>
                <w:szCs w:val="20"/>
              </w:rPr>
            </w:pPr>
            <w:r>
              <w:rPr>
                <w:rFonts w:ascii="Verdana" w:hAnsi="Verdana"/>
                <w:b/>
                <w:bCs/>
                <w:sz w:val="20"/>
                <w:szCs w:val="20"/>
              </w:rPr>
              <w:t xml:space="preserve">        </w:t>
            </w:r>
            <w:r w:rsidR="00A406DA" w:rsidRPr="00A406DA">
              <w:rPr>
                <w:rFonts w:ascii="Verdana" w:hAnsi="Verdana"/>
                <w:b/>
                <w:bCs/>
                <w:sz w:val="20"/>
                <w:szCs w:val="20"/>
              </w:rPr>
              <w:t>Issued</w:t>
            </w:r>
          </w:p>
        </w:tc>
      </w:tr>
      <w:tr w:rsidR="00A406DA" w:rsidRPr="00A406DA" w:rsidTr="00A406DA">
        <w:trPr>
          <w:tblCellSpacing w:w="15" w:type="dxa"/>
        </w:trPr>
        <w:tc>
          <w:tcPr>
            <w:tcW w:w="0" w:type="auto"/>
            <w:shd w:val="clear" w:color="auto" w:fill="FFFFFF"/>
            <w:hideMark/>
          </w:tcPr>
          <w:p w:rsidR="00A406DA" w:rsidRPr="00A406DA" w:rsidRDefault="00B17C0E">
            <w:pPr>
              <w:rPr>
                <w:rFonts w:ascii="Verdana" w:hAnsi="Verdana"/>
                <w:sz w:val="20"/>
                <w:szCs w:val="20"/>
              </w:rPr>
            </w:pPr>
            <w:r>
              <w:rPr>
                <w:rFonts w:ascii="Verdana" w:hAnsi="Verdana"/>
                <w:sz w:val="20"/>
                <w:szCs w:val="20"/>
              </w:rPr>
              <w:t xml:space="preserve">         </w:t>
            </w:r>
            <w:r w:rsidR="00A406DA" w:rsidRPr="00A406DA">
              <w:rPr>
                <w:rFonts w:ascii="Verdana" w:hAnsi="Verdana"/>
                <w:sz w:val="20"/>
                <w:szCs w:val="20"/>
              </w:rPr>
              <w:t>4-97</w:t>
            </w:r>
          </w:p>
        </w:tc>
        <w:tc>
          <w:tcPr>
            <w:tcW w:w="0" w:type="auto"/>
            <w:gridSpan w:val="3"/>
            <w:shd w:val="clear" w:color="auto" w:fill="FFFFFF"/>
            <w:hideMark/>
          </w:tcPr>
          <w:p w:rsidR="00A406DA" w:rsidRPr="00A406DA" w:rsidRDefault="00A406DA">
            <w:pPr>
              <w:rPr>
                <w:rFonts w:ascii="Verdana" w:hAnsi="Verdana"/>
                <w:sz w:val="20"/>
                <w:szCs w:val="20"/>
              </w:rPr>
            </w:pPr>
            <w:r w:rsidRPr="00A406DA">
              <w:rPr>
                <w:rFonts w:ascii="Verdana" w:hAnsi="Verdana"/>
                <w:sz w:val="20"/>
                <w:szCs w:val="20"/>
              </w:rPr>
              <w:t>Department of Community and</w:t>
            </w:r>
            <w:r w:rsidRPr="00A406DA">
              <w:rPr>
                <w:rFonts w:ascii="Verdana" w:hAnsi="Verdana"/>
                <w:sz w:val="20"/>
                <w:szCs w:val="20"/>
              </w:rPr>
              <w:br/>
            </w:r>
            <w:r w:rsidRPr="00A406DA">
              <w:rPr>
                <w:rFonts w:ascii="Verdana"/>
                <w:sz w:val="20"/>
                <w:szCs w:val="20"/>
              </w:rPr>
              <w:t> </w:t>
            </w:r>
            <w:r w:rsidRPr="00A406DA">
              <w:rPr>
                <w:rFonts w:ascii="Verdana" w:hAnsi="Verdana"/>
                <w:sz w:val="20"/>
                <w:szCs w:val="20"/>
              </w:rPr>
              <w:t>Economic Development</w:t>
            </w:r>
            <w:r w:rsidRPr="00A406DA">
              <w:rPr>
                <w:rFonts w:ascii="Verdana" w:hAnsi="Verdana"/>
                <w:sz w:val="20"/>
                <w:szCs w:val="20"/>
              </w:rPr>
              <w:br/>
              <w:t>Local Earned Income Tax</w:t>
            </w:r>
            <w:r w:rsidRPr="00A406DA">
              <w:rPr>
                <w:rFonts w:ascii="Verdana" w:hAnsi="Verdana"/>
                <w:sz w:val="20"/>
                <w:szCs w:val="20"/>
              </w:rPr>
              <w:br/>
              <w:t xml:space="preserve">46 </w:t>
            </w:r>
            <w:proofErr w:type="spellStart"/>
            <w:r w:rsidRPr="00A406DA">
              <w:rPr>
                <w:rFonts w:ascii="Verdana" w:hAnsi="Verdana"/>
                <w:sz w:val="20"/>
                <w:szCs w:val="20"/>
              </w:rPr>
              <w:t>Pa.B</w:t>
            </w:r>
            <w:proofErr w:type="spellEnd"/>
            <w:r w:rsidRPr="00A406DA">
              <w:rPr>
                <w:rFonts w:ascii="Verdana" w:hAnsi="Verdana"/>
                <w:sz w:val="20"/>
                <w:szCs w:val="20"/>
              </w:rPr>
              <w:t>. 4179 (July 30, 2016)</w:t>
            </w:r>
          </w:p>
        </w:tc>
        <w:tc>
          <w:tcPr>
            <w:tcW w:w="0" w:type="auto"/>
            <w:shd w:val="clear" w:color="auto" w:fill="FFFFFF"/>
            <w:hideMark/>
          </w:tcPr>
          <w:p w:rsidR="00A406DA" w:rsidRPr="00A406DA" w:rsidRDefault="00B17C0E">
            <w:pPr>
              <w:rPr>
                <w:rFonts w:ascii="Verdana" w:hAnsi="Verdana"/>
                <w:sz w:val="20"/>
                <w:szCs w:val="20"/>
              </w:rPr>
            </w:pPr>
            <w:r>
              <w:rPr>
                <w:rFonts w:ascii="Verdana" w:hAnsi="Verdana"/>
                <w:sz w:val="20"/>
                <w:szCs w:val="20"/>
              </w:rPr>
              <w:t xml:space="preserve">       </w:t>
            </w:r>
            <w:r w:rsidR="00A406DA" w:rsidRPr="00A406DA">
              <w:rPr>
                <w:rFonts w:ascii="Verdana" w:hAnsi="Verdana"/>
                <w:sz w:val="20"/>
                <w:szCs w:val="20"/>
              </w:rPr>
              <w:t>8/29/16</w:t>
            </w:r>
          </w:p>
        </w:tc>
        <w:tc>
          <w:tcPr>
            <w:tcW w:w="0" w:type="auto"/>
            <w:shd w:val="clear" w:color="auto" w:fill="FFFFFF"/>
            <w:hideMark/>
          </w:tcPr>
          <w:p w:rsidR="00A406DA" w:rsidRPr="00A406DA" w:rsidRDefault="00B17C0E">
            <w:pPr>
              <w:rPr>
                <w:rFonts w:ascii="Verdana" w:hAnsi="Verdana"/>
                <w:sz w:val="20"/>
                <w:szCs w:val="20"/>
              </w:rPr>
            </w:pPr>
            <w:r>
              <w:rPr>
                <w:rFonts w:ascii="Verdana" w:hAnsi="Verdana"/>
                <w:sz w:val="20"/>
                <w:szCs w:val="20"/>
              </w:rPr>
              <w:t xml:space="preserve">          </w:t>
            </w:r>
            <w:r w:rsidR="00A406DA" w:rsidRPr="00A406DA">
              <w:rPr>
                <w:rFonts w:ascii="Verdana" w:hAnsi="Verdana"/>
                <w:sz w:val="20"/>
                <w:szCs w:val="20"/>
              </w:rPr>
              <w:t>9/28/16</w:t>
            </w:r>
          </w:p>
        </w:tc>
      </w:tr>
    </w:tbl>
    <w:p w:rsidR="008E73A9" w:rsidRPr="00C82D24" w:rsidRDefault="008E73A9" w:rsidP="000C6D28">
      <w:pPr>
        <w:rPr>
          <w:rFonts w:ascii="Verdana" w:eastAsia="Verdana" w:hAnsi="Verdana" w:cs="Verdana"/>
          <w:spacing w:val="1"/>
          <w:position w:val="-1"/>
          <w:sz w:val="14"/>
          <w:szCs w:val="20"/>
          <w:u w:val="thick" w:color="000000"/>
        </w:rPr>
      </w:pPr>
    </w:p>
    <w:sectPr w:rsidR="008E73A9" w:rsidRPr="00C82D24" w:rsidSect="00170164">
      <w:pgSz w:w="12240" w:h="15840"/>
      <w:pgMar w:top="1480" w:right="680" w:bottom="280" w:left="5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ie Stuck">
    <w15:presenceInfo w15:providerId="Windows Live" w15:userId="d66a45cbc339a0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35217"/>
    <w:rsid w:val="00002F3A"/>
    <w:rsid w:val="000235F5"/>
    <w:rsid w:val="0004173E"/>
    <w:rsid w:val="00055920"/>
    <w:rsid w:val="00076A8D"/>
    <w:rsid w:val="000976A0"/>
    <w:rsid w:val="00097B14"/>
    <w:rsid w:val="000C6D28"/>
    <w:rsid w:val="000D2B73"/>
    <w:rsid w:val="000D6B5C"/>
    <w:rsid w:val="00154145"/>
    <w:rsid w:val="00166BA1"/>
    <w:rsid w:val="00170164"/>
    <w:rsid w:val="001A20BE"/>
    <w:rsid w:val="001B45A5"/>
    <w:rsid w:val="001F7154"/>
    <w:rsid w:val="00200FC9"/>
    <w:rsid w:val="00203B66"/>
    <w:rsid w:val="00224F38"/>
    <w:rsid w:val="00294A45"/>
    <w:rsid w:val="002A0C88"/>
    <w:rsid w:val="002B2E82"/>
    <w:rsid w:val="002C5C57"/>
    <w:rsid w:val="002E52C0"/>
    <w:rsid w:val="003055C5"/>
    <w:rsid w:val="00384891"/>
    <w:rsid w:val="00396C70"/>
    <w:rsid w:val="003B0F23"/>
    <w:rsid w:val="003C2D1A"/>
    <w:rsid w:val="003C4813"/>
    <w:rsid w:val="003D37AD"/>
    <w:rsid w:val="003E34D4"/>
    <w:rsid w:val="003F6EBE"/>
    <w:rsid w:val="004076EC"/>
    <w:rsid w:val="00423337"/>
    <w:rsid w:val="00431319"/>
    <w:rsid w:val="00453855"/>
    <w:rsid w:val="004A6F3A"/>
    <w:rsid w:val="004C2E6B"/>
    <w:rsid w:val="004D7543"/>
    <w:rsid w:val="00507EF9"/>
    <w:rsid w:val="005140EA"/>
    <w:rsid w:val="005274EB"/>
    <w:rsid w:val="00542F04"/>
    <w:rsid w:val="00583F40"/>
    <w:rsid w:val="005A1AC3"/>
    <w:rsid w:val="005E523D"/>
    <w:rsid w:val="005F4EB3"/>
    <w:rsid w:val="005F7B72"/>
    <w:rsid w:val="006054DC"/>
    <w:rsid w:val="006060B4"/>
    <w:rsid w:val="00611C1D"/>
    <w:rsid w:val="00613A99"/>
    <w:rsid w:val="00621AE5"/>
    <w:rsid w:val="006315D4"/>
    <w:rsid w:val="00635217"/>
    <w:rsid w:val="00635A5D"/>
    <w:rsid w:val="006441F3"/>
    <w:rsid w:val="00653F60"/>
    <w:rsid w:val="006773A8"/>
    <w:rsid w:val="00691EB4"/>
    <w:rsid w:val="006B3CC4"/>
    <w:rsid w:val="006E09BB"/>
    <w:rsid w:val="006E29C7"/>
    <w:rsid w:val="006F1322"/>
    <w:rsid w:val="00707FAE"/>
    <w:rsid w:val="00716337"/>
    <w:rsid w:val="00724EF4"/>
    <w:rsid w:val="00767437"/>
    <w:rsid w:val="007B1A09"/>
    <w:rsid w:val="00800329"/>
    <w:rsid w:val="008041E8"/>
    <w:rsid w:val="00865117"/>
    <w:rsid w:val="008703AE"/>
    <w:rsid w:val="008A4209"/>
    <w:rsid w:val="008B3A44"/>
    <w:rsid w:val="008C6D93"/>
    <w:rsid w:val="008D37BC"/>
    <w:rsid w:val="008E58C1"/>
    <w:rsid w:val="008E6CF4"/>
    <w:rsid w:val="008E73A9"/>
    <w:rsid w:val="008F1FE5"/>
    <w:rsid w:val="00903938"/>
    <w:rsid w:val="00903E3A"/>
    <w:rsid w:val="009100A9"/>
    <w:rsid w:val="009202BD"/>
    <w:rsid w:val="00922116"/>
    <w:rsid w:val="00946814"/>
    <w:rsid w:val="0096653C"/>
    <w:rsid w:val="009922E3"/>
    <w:rsid w:val="009B7612"/>
    <w:rsid w:val="009B789B"/>
    <w:rsid w:val="009C0B75"/>
    <w:rsid w:val="00A12F53"/>
    <w:rsid w:val="00A30093"/>
    <w:rsid w:val="00A406DA"/>
    <w:rsid w:val="00A43531"/>
    <w:rsid w:val="00A8258F"/>
    <w:rsid w:val="00AA2C7C"/>
    <w:rsid w:val="00AC17C7"/>
    <w:rsid w:val="00AE1D7F"/>
    <w:rsid w:val="00AF0759"/>
    <w:rsid w:val="00B125E8"/>
    <w:rsid w:val="00B17156"/>
    <w:rsid w:val="00B17C0E"/>
    <w:rsid w:val="00B409D4"/>
    <w:rsid w:val="00B5082F"/>
    <w:rsid w:val="00B61E2C"/>
    <w:rsid w:val="00B66085"/>
    <w:rsid w:val="00B7758B"/>
    <w:rsid w:val="00B83B8B"/>
    <w:rsid w:val="00B93874"/>
    <w:rsid w:val="00B94988"/>
    <w:rsid w:val="00B96711"/>
    <w:rsid w:val="00BB062C"/>
    <w:rsid w:val="00BB7266"/>
    <w:rsid w:val="00BC55D6"/>
    <w:rsid w:val="00BE0E0C"/>
    <w:rsid w:val="00BE3A84"/>
    <w:rsid w:val="00BE61E4"/>
    <w:rsid w:val="00BE6BEC"/>
    <w:rsid w:val="00BE7EEB"/>
    <w:rsid w:val="00C45D89"/>
    <w:rsid w:val="00C82D24"/>
    <w:rsid w:val="00CB7FA3"/>
    <w:rsid w:val="00CD4B38"/>
    <w:rsid w:val="00D000F7"/>
    <w:rsid w:val="00D02190"/>
    <w:rsid w:val="00D354DA"/>
    <w:rsid w:val="00D54E03"/>
    <w:rsid w:val="00D61E8F"/>
    <w:rsid w:val="00D654C2"/>
    <w:rsid w:val="00D8383A"/>
    <w:rsid w:val="00D96204"/>
    <w:rsid w:val="00DA105A"/>
    <w:rsid w:val="00DB4F85"/>
    <w:rsid w:val="00DC7092"/>
    <w:rsid w:val="00DD16BF"/>
    <w:rsid w:val="00DE7606"/>
    <w:rsid w:val="00E02EC9"/>
    <w:rsid w:val="00E149F3"/>
    <w:rsid w:val="00E4221B"/>
    <w:rsid w:val="00E45A4F"/>
    <w:rsid w:val="00E74A40"/>
    <w:rsid w:val="00E942E2"/>
    <w:rsid w:val="00E961DF"/>
    <w:rsid w:val="00EC1064"/>
    <w:rsid w:val="00ED2E57"/>
    <w:rsid w:val="00ED4304"/>
    <w:rsid w:val="00F706E2"/>
    <w:rsid w:val="00F916EE"/>
    <w:rsid w:val="00F92081"/>
    <w:rsid w:val="00F97DE1"/>
    <w:rsid w:val="00FC0351"/>
    <w:rsid w:val="00FC3883"/>
    <w:rsid w:val="00FD37F2"/>
    <w:rsid w:val="00FE39E3"/>
    <w:rsid w:val="00FF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semiHidden/>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
    <w:name w:val="title"/>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
    <w:name w:val="caption"/>
    <w:basedOn w:val="DefaultParagraphFont"/>
    <w:rsid w:val="009100A9"/>
  </w:style>
</w:styles>
</file>

<file path=word/webSettings.xml><?xml version="1.0" encoding="utf-8"?>
<w:webSettings xmlns:r="http://schemas.openxmlformats.org/officeDocument/2006/relationships" xmlns:w="http://schemas.openxmlformats.org/wordprocessingml/2006/main">
  <w:divs>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143498854">
          <w:marLeft w:val="0"/>
          <w:marRight w:val="0"/>
          <w:marTop w:val="0"/>
          <w:marBottom w:val="0"/>
          <w:divBdr>
            <w:top w:val="none" w:sz="0" w:space="0" w:color="auto"/>
            <w:left w:val="none" w:sz="0" w:space="0" w:color="auto"/>
            <w:bottom w:val="none" w:sz="0" w:space="0" w:color="auto"/>
            <w:right w:val="none" w:sz="0" w:space="0" w:color="auto"/>
          </w:divBdr>
        </w:div>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2104648314">
                      <w:marLeft w:val="0"/>
                      <w:marRight w:val="0"/>
                      <w:marTop w:val="0"/>
                      <w:marBottom w:val="0"/>
                      <w:divBdr>
                        <w:top w:val="none" w:sz="0" w:space="0" w:color="auto"/>
                        <w:left w:val="none" w:sz="0" w:space="0" w:color="auto"/>
                        <w:bottom w:val="none" w:sz="0" w:space="0" w:color="auto"/>
                        <w:right w:val="none" w:sz="0" w:space="0" w:color="auto"/>
                      </w:divBdr>
                    </w:div>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1823542373">
                              <w:marLeft w:val="0"/>
                              <w:marRight w:val="0"/>
                              <w:marTop w:val="0"/>
                              <w:marBottom w:val="0"/>
                              <w:divBdr>
                                <w:top w:val="none" w:sz="0" w:space="0" w:color="auto"/>
                                <w:left w:val="none" w:sz="0" w:space="0" w:color="auto"/>
                                <w:bottom w:val="none" w:sz="0" w:space="0" w:color="auto"/>
                                <w:right w:val="none" w:sz="0" w:space="0" w:color="auto"/>
                              </w:divBdr>
                            </w:div>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6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1288194707">
          <w:marLeft w:val="0"/>
          <w:marRight w:val="0"/>
          <w:marTop w:val="0"/>
          <w:marBottom w:val="0"/>
          <w:divBdr>
            <w:top w:val="none" w:sz="0" w:space="0" w:color="auto"/>
            <w:left w:val="none" w:sz="0" w:space="0" w:color="auto"/>
            <w:bottom w:val="none" w:sz="0" w:space="0" w:color="auto"/>
            <w:right w:val="none" w:sz="0" w:space="0" w:color="auto"/>
          </w:divBdr>
        </w:div>
        <w:div w:id="1861240608">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1562253181">
                          <w:marLeft w:val="0"/>
                          <w:marRight w:val="0"/>
                          <w:marTop w:val="0"/>
                          <w:marBottom w:val="0"/>
                          <w:divBdr>
                            <w:top w:val="none" w:sz="0" w:space="0" w:color="auto"/>
                            <w:left w:val="none" w:sz="0" w:space="0" w:color="auto"/>
                            <w:bottom w:val="none" w:sz="0" w:space="0" w:color="auto"/>
                            <w:right w:val="none" w:sz="0" w:space="0" w:color="auto"/>
                          </w:divBdr>
                        </w:div>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9673820">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651130985">
                      <w:marLeft w:val="0"/>
                      <w:marRight w:val="75"/>
                      <w:marTop w:val="250"/>
                      <w:marBottom w:val="250"/>
                      <w:divBdr>
                        <w:top w:val="none" w:sz="0" w:space="0" w:color="auto"/>
                        <w:left w:val="none" w:sz="0" w:space="0" w:color="auto"/>
                        <w:bottom w:val="none" w:sz="0" w:space="0" w:color="auto"/>
                        <w:right w:val="none" w:sz="0" w:space="0" w:color="auto"/>
                      </w:divBdr>
                    </w:div>
                  </w:divsChild>
                </w:div>
                <w:div w:id="1217275810">
                  <w:marLeft w:val="0"/>
                  <w:marRight w:val="0"/>
                  <w:marTop w:val="0"/>
                  <w:marBottom w:val="0"/>
                  <w:divBdr>
                    <w:top w:val="none" w:sz="0" w:space="0" w:color="auto"/>
                    <w:left w:val="none" w:sz="0" w:space="0" w:color="auto"/>
                    <w:bottom w:val="none" w:sz="0" w:space="0" w:color="auto"/>
                    <w:right w:val="none" w:sz="0" w:space="0" w:color="auto"/>
                  </w:divBdr>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012418903">
                      <w:marLeft w:val="250"/>
                      <w:marRight w:val="0"/>
                      <w:marTop w:val="250"/>
                      <w:marBottom w:val="0"/>
                      <w:divBdr>
                        <w:top w:val="none" w:sz="0" w:space="0" w:color="auto"/>
                        <w:left w:val="none" w:sz="0" w:space="0" w:color="auto"/>
                        <w:bottom w:val="none" w:sz="0" w:space="0" w:color="auto"/>
                        <w:right w:val="none" w:sz="0" w:space="0" w:color="auto"/>
                      </w:divBdr>
                    </w:div>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867529622">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 w:id="133807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1983541615">
          <w:marLeft w:val="0"/>
          <w:marRight w:val="0"/>
          <w:marTop w:val="0"/>
          <w:marBottom w:val="0"/>
          <w:divBdr>
            <w:top w:val="none" w:sz="0" w:space="0" w:color="auto"/>
            <w:left w:val="none" w:sz="0" w:space="0" w:color="auto"/>
            <w:bottom w:val="none" w:sz="0" w:space="0" w:color="auto"/>
            <w:right w:val="none" w:sz="0" w:space="0" w:color="auto"/>
          </w:divBdr>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2108113913">
                                  <w:marLeft w:val="0"/>
                                  <w:marRight w:val="0"/>
                                  <w:marTop w:val="0"/>
                                  <w:marBottom w:val="0"/>
                                  <w:divBdr>
                                    <w:top w:val="none" w:sz="0" w:space="0" w:color="auto"/>
                                    <w:left w:val="none" w:sz="0" w:space="0" w:color="auto"/>
                                    <w:bottom w:val="none" w:sz="0" w:space="0" w:color="auto"/>
                                    <w:right w:val="none" w:sz="0" w:space="0" w:color="auto"/>
                                  </w:divBdr>
                                </w:div>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139835484">
          <w:marLeft w:val="0"/>
          <w:marRight w:val="0"/>
          <w:marTop w:val="0"/>
          <w:marBottom w:val="0"/>
          <w:divBdr>
            <w:top w:val="none" w:sz="0" w:space="0" w:color="auto"/>
            <w:left w:val="none" w:sz="0" w:space="0" w:color="auto"/>
            <w:bottom w:val="none" w:sz="0" w:space="0" w:color="auto"/>
            <w:right w:val="none" w:sz="0" w:space="0" w:color="auto"/>
          </w:divBdr>
        </w:div>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1447771290">
                                                  <w:marLeft w:val="0"/>
                                                  <w:marRight w:val="0"/>
                                                  <w:marTop w:val="0"/>
                                                  <w:marBottom w:val="0"/>
                                                  <w:divBdr>
                                                    <w:top w:val="none" w:sz="0" w:space="0" w:color="auto"/>
                                                    <w:left w:val="none" w:sz="0" w:space="0" w:color="auto"/>
                                                    <w:bottom w:val="none" w:sz="0" w:space="0" w:color="auto"/>
                                                    <w:right w:val="none" w:sz="0" w:space="0" w:color="auto"/>
                                                  </w:divBdr>
                                                </w:div>
                                                <w:div w:id="276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 w:id="6862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2061322100">
          <w:marLeft w:val="0"/>
          <w:marRight w:val="0"/>
          <w:marTop w:val="0"/>
          <w:marBottom w:val="0"/>
          <w:divBdr>
            <w:top w:val="none" w:sz="0" w:space="0" w:color="auto"/>
            <w:left w:val="none" w:sz="0" w:space="0" w:color="auto"/>
            <w:bottom w:val="none" w:sz="0" w:space="0" w:color="auto"/>
            <w:right w:val="none" w:sz="0" w:space="0" w:color="auto"/>
          </w:divBdr>
        </w:div>
        <w:div w:id="349331188">
          <w:marLeft w:val="0"/>
          <w:marRight w:val="0"/>
          <w:marTop w:val="0"/>
          <w:marBottom w:val="0"/>
          <w:divBdr>
            <w:top w:val="none" w:sz="0" w:space="0" w:color="auto"/>
            <w:left w:val="none" w:sz="0" w:space="0" w:color="auto"/>
            <w:bottom w:val="none" w:sz="0" w:space="0" w:color="auto"/>
            <w:right w:val="none" w:sz="0" w:space="0" w:color="auto"/>
          </w:divBdr>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1607349239">
                      <w:marLeft w:val="0"/>
                      <w:marRight w:val="0"/>
                      <w:marTop w:val="0"/>
                      <w:marBottom w:val="0"/>
                      <w:divBdr>
                        <w:top w:val="none" w:sz="0" w:space="0" w:color="auto"/>
                        <w:left w:val="none" w:sz="0" w:space="0" w:color="auto"/>
                        <w:bottom w:val="none" w:sz="0" w:space="0" w:color="auto"/>
                        <w:right w:val="none" w:sz="0" w:space="0" w:color="auto"/>
                      </w:divBdr>
                    </w:div>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931887299">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2082604922">
                      <w:marLeft w:val="0"/>
                      <w:marRight w:val="0"/>
                      <w:marTop w:val="0"/>
                      <w:marBottom w:val="0"/>
                      <w:divBdr>
                        <w:top w:val="none" w:sz="0" w:space="0" w:color="auto"/>
                        <w:left w:val="none" w:sz="0" w:space="0" w:color="auto"/>
                        <w:bottom w:val="none" w:sz="0" w:space="0" w:color="auto"/>
                        <w:right w:val="none" w:sz="0" w:space="0" w:color="auto"/>
                      </w:divBdr>
                    </w:div>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424">
          <w:marLeft w:val="0"/>
          <w:marRight w:val="0"/>
          <w:marTop w:val="0"/>
          <w:marBottom w:val="0"/>
          <w:divBdr>
            <w:top w:val="none" w:sz="0" w:space="0" w:color="auto"/>
            <w:left w:val="none" w:sz="0" w:space="0" w:color="auto"/>
            <w:bottom w:val="none" w:sz="0" w:space="0" w:color="auto"/>
            <w:right w:val="none" w:sz="0" w:space="0" w:color="auto"/>
          </w:divBdr>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1142774619">
                                                  <w:marLeft w:val="0"/>
                                                  <w:marRight w:val="0"/>
                                                  <w:marTop w:val="0"/>
                                                  <w:marBottom w:val="0"/>
                                                  <w:divBdr>
                                                    <w:top w:val="none" w:sz="0" w:space="0" w:color="auto"/>
                                                    <w:left w:val="none" w:sz="0" w:space="0" w:color="auto"/>
                                                    <w:bottom w:val="none" w:sz="0" w:space="0" w:color="auto"/>
                                                    <w:right w:val="none" w:sz="0" w:space="0" w:color="auto"/>
                                                  </w:divBdr>
                                                </w:div>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1288273622">
                                  <w:marLeft w:val="0"/>
                                  <w:marRight w:val="0"/>
                                  <w:marTop w:val="0"/>
                                  <w:marBottom w:val="250"/>
                                  <w:divBdr>
                                    <w:top w:val="none" w:sz="0" w:space="0" w:color="auto"/>
                                    <w:left w:val="none" w:sz="0" w:space="0" w:color="auto"/>
                                    <w:bottom w:val="none" w:sz="0" w:space="0" w:color="auto"/>
                                    <w:right w:val="none" w:sz="0" w:space="0" w:color="auto"/>
                                  </w:divBdr>
                                </w:div>
                                <w:div w:id="7859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295986219">
                      <w:marLeft w:val="0"/>
                      <w:marRight w:val="0"/>
                      <w:marTop w:val="0"/>
                      <w:marBottom w:val="188"/>
                      <w:divBdr>
                        <w:top w:val="none" w:sz="0" w:space="0" w:color="auto"/>
                        <w:left w:val="none" w:sz="0" w:space="0" w:color="auto"/>
                        <w:bottom w:val="single" w:sz="12" w:space="2" w:color="888888"/>
                        <w:right w:val="none" w:sz="0" w:space="0" w:color="auto"/>
                      </w:divBdr>
                    </w:div>
                    <w:div w:id="133723624">
                      <w:marLeft w:val="-1002"/>
                      <w:marRight w:val="0"/>
                      <w:marTop w:val="0"/>
                      <w:marBottom w:val="0"/>
                      <w:divBdr>
                        <w:top w:val="none" w:sz="0" w:space="0" w:color="auto"/>
                        <w:left w:val="none" w:sz="0" w:space="0" w:color="auto"/>
                        <w:bottom w:val="none" w:sz="0" w:space="0" w:color="auto"/>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70547874">
              <w:marLeft w:val="0"/>
              <w:marRight w:val="0"/>
              <w:marTop w:val="0"/>
              <w:marBottom w:val="376"/>
              <w:divBdr>
                <w:top w:val="none" w:sz="0" w:space="0" w:color="auto"/>
                <w:left w:val="none" w:sz="0" w:space="0" w:color="auto"/>
                <w:bottom w:val="none" w:sz="0" w:space="0" w:color="auto"/>
                <w:right w:val="none" w:sz="0" w:space="0" w:color="auto"/>
              </w:divBdr>
              <w:divsChild>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639">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symptoms/morbid-obesity/overview.html?inline=nyt-classifi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organizations/w/world_health_organization/index.html?inline=nyt-org" TargetMode="External"/><Relationship Id="rId12" Type="http://schemas.openxmlformats.org/officeDocument/2006/relationships/hyperlink" Target="http://www.pabulletin.com/secure/data/vol46/46-41/174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all.com/topic/politics-government/chris-christie-PEPLT0000017577-topic.html" TargetMode="External"/><Relationship Id="rId11" Type="http://schemas.openxmlformats.org/officeDocument/2006/relationships/hyperlink" Target="http://www.philly.com/philly/education/20161013_Turzai_wants_more_tax-credit_scholarships_for_nonpublic_schools.html?viewGallery=y" TargetMode="External"/><Relationship Id="rId5" Type="http://schemas.openxmlformats.org/officeDocument/2006/relationships/image" Target="media/image1.png"/><Relationship Id="rId15" Type="http://schemas.microsoft.com/office/2011/relationships/people" Target="people.xml"/><Relationship Id="rId10" Type="http://schemas.openxmlformats.org/officeDocument/2006/relationships/hyperlink" Target="http://www.nytimes.com/2016/04/04/upshot/making-a-soda-tax-more-politically-palatable.html" TargetMode="External"/><Relationship Id="rId4" Type="http://schemas.openxmlformats.org/officeDocument/2006/relationships/webSettings" Target="webSettings.xml"/><Relationship Id="rId9" Type="http://schemas.openxmlformats.org/officeDocument/2006/relationships/hyperlink" Target="http://apps.who.int/iris/bitstream/10665/250131/1/9789241511247-eng.pdf?ua=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9</cp:revision>
  <cp:lastPrinted>2016-10-13T16:43:00Z</cp:lastPrinted>
  <dcterms:created xsi:type="dcterms:W3CDTF">2016-10-11T13:28:00Z</dcterms:created>
  <dcterms:modified xsi:type="dcterms:W3CDTF">2016-10-13T17:56:00Z</dcterms:modified>
</cp:coreProperties>
</file>